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cs="Times New Roman"/>
          <w:szCs w:val="21"/>
        </w:rPr>
      </w:pPr>
      <w:bookmarkStart w:id="0" w:name="_Hlk82045052"/>
      <w:bookmarkEnd w:id="0"/>
    </w:p>
    <w:p>
      <w:pPr>
        <w:rPr>
          <w:rFonts w:cs="Times New Roman"/>
          <w:szCs w:val="21"/>
        </w:rPr>
      </w:pPr>
    </w:p>
    <w:p>
      <w:pPr>
        <w:rPr>
          <w:rFonts w:cs="Times New Roman"/>
          <w:szCs w:val="21"/>
        </w:rPr>
      </w:pPr>
    </w:p>
    <w:p>
      <w:pPr>
        <w:spacing w:before="468" w:beforeLines="150" w:after="468" w:afterLines="150" w:line="360" w:lineRule="auto"/>
        <w:jc w:val="distribute"/>
        <w:rPr>
          <w:rFonts w:eastAsia="黑体" w:cs="Times New Roman"/>
          <w:sz w:val="58"/>
          <w:szCs w:val="58"/>
        </w:rPr>
      </w:pPr>
      <w:r>
        <w:rPr>
          <w:rFonts w:eastAsia="黑体" w:cs="Times New Roman"/>
          <w:sz w:val="58"/>
          <w:szCs w:val="58"/>
        </w:rPr>
        <w:t>建设项目环境影响报告表</w:t>
      </w:r>
    </w:p>
    <w:p>
      <w:pPr>
        <w:spacing w:before="468" w:beforeLines="150" w:after="468" w:afterLines="150" w:line="360" w:lineRule="auto"/>
        <w:ind w:left="567" w:leftChars="270" w:right="565" w:rightChars="269"/>
        <w:jc w:val="center"/>
        <w:rPr>
          <w:rFonts w:eastAsia="楷体" w:cs="Times New Roman"/>
          <w:sz w:val="44"/>
          <w:szCs w:val="44"/>
        </w:rPr>
      </w:pPr>
      <w:r>
        <w:rPr>
          <w:rFonts w:hint="eastAsia" w:eastAsia="楷体" w:cs="Times New Roman"/>
          <w:sz w:val="44"/>
          <w:szCs w:val="44"/>
        </w:rPr>
        <w:t>（生态影响类）</w:t>
      </w:r>
    </w:p>
    <w:p>
      <w:pPr>
        <w:rPr>
          <w:rFonts w:cs="Times New Roman"/>
          <w:szCs w:val="21"/>
        </w:rPr>
      </w:pPr>
    </w:p>
    <w:p>
      <w:pPr>
        <w:rPr>
          <w:rFonts w:cs="Times New Roman"/>
          <w:szCs w:val="21"/>
        </w:rPr>
      </w:pPr>
    </w:p>
    <w:p>
      <w:pPr>
        <w:rPr>
          <w:rFonts w:cs="Times New Roman"/>
          <w:szCs w:val="21"/>
        </w:rPr>
      </w:pPr>
    </w:p>
    <w:p>
      <w:pPr>
        <w:rPr>
          <w:rFonts w:cs="Times New Roman"/>
          <w:szCs w:val="21"/>
        </w:rPr>
      </w:pPr>
    </w:p>
    <w:p>
      <w:pPr>
        <w:rPr>
          <w:rFonts w:cs="Times New Roman"/>
          <w:szCs w:val="21"/>
        </w:rPr>
      </w:pPr>
    </w:p>
    <w:p>
      <w:pPr>
        <w:rPr>
          <w:rFonts w:cs="Times New Roman"/>
          <w:szCs w:val="21"/>
        </w:rPr>
      </w:pPr>
    </w:p>
    <w:p>
      <w:pPr>
        <w:rPr>
          <w:rFonts w:cs="Times New Roman"/>
          <w:szCs w:val="21"/>
        </w:rPr>
      </w:pPr>
    </w:p>
    <w:tbl>
      <w:tblPr>
        <w:tblStyle w:val="25"/>
        <w:tblW w:w="5000" w:type="pct"/>
        <w:tblInd w:w="0" w:type="dxa"/>
        <w:tblLayout w:type="autofit"/>
        <w:tblCellMar>
          <w:top w:w="0" w:type="dxa"/>
          <w:left w:w="108" w:type="dxa"/>
          <w:bottom w:w="0" w:type="dxa"/>
          <w:right w:w="108" w:type="dxa"/>
        </w:tblCellMar>
      </w:tblPr>
      <w:tblGrid>
        <w:gridCol w:w="2927"/>
        <w:gridCol w:w="6359"/>
      </w:tblGrid>
      <w:tr>
        <w:tblPrEx>
          <w:tblCellMar>
            <w:top w:w="0" w:type="dxa"/>
            <w:left w:w="108" w:type="dxa"/>
            <w:bottom w:w="0" w:type="dxa"/>
            <w:right w:w="108" w:type="dxa"/>
          </w:tblCellMar>
        </w:tblPrEx>
        <w:trPr>
          <w:trHeight w:val="789" w:hRule="atLeast"/>
        </w:trPr>
        <w:tc>
          <w:tcPr>
            <w:tcW w:w="1576" w:type="pct"/>
          </w:tcPr>
          <w:p>
            <w:pPr>
              <w:jc w:val="distribute"/>
              <w:rPr>
                <w:rFonts w:eastAsia="黑体" w:cs="Times New Roman"/>
                <w:kern w:val="0"/>
                <w:sz w:val="30"/>
                <w:szCs w:val="30"/>
              </w:rPr>
            </w:pPr>
            <w:r>
              <w:rPr>
                <w:rFonts w:eastAsia="黑体" w:cs="Times New Roman"/>
                <w:kern w:val="0"/>
                <w:sz w:val="30"/>
                <w:szCs w:val="30"/>
              </w:rPr>
              <w:t>项目名称：</w:t>
            </w:r>
          </w:p>
        </w:tc>
        <w:tc>
          <w:tcPr>
            <w:tcW w:w="3424" w:type="pct"/>
          </w:tcPr>
          <w:p>
            <w:pPr>
              <w:jc w:val="distribute"/>
              <w:rPr>
                <w:rFonts w:eastAsia="黑体" w:cs="Times New Roman"/>
                <w:kern w:val="0"/>
                <w:sz w:val="30"/>
                <w:szCs w:val="30"/>
              </w:rPr>
            </w:pPr>
            <w:r>
              <w:rPr>
                <w:rFonts w:hint="eastAsia" w:eastAsia="黑体" w:cs="Times New Roman"/>
                <w:kern w:val="0"/>
                <w:sz w:val="30"/>
                <w:szCs w:val="30"/>
              </w:rPr>
              <w:t>杭州机场高铁工程涉及输电线路改迁工程110kV民盐1292线20#-22#改迁工程</w:t>
            </w:r>
          </w:p>
        </w:tc>
      </w:tr>
      <w:tr>
        <w:tblPrEx>
          <w:tblCellMar>
            <w:top w:w="0" w:type="dxa"/>
            <w:left w:w="108" w:type="dxa"/>
            <w:bottom w:w="0" w:type="dxa"/>
            <w:right w:w="108" w:type="dxa"/>
          </w:tblCellMar>
        </w:tblPrEx>
        <w:trPr>
          <w:trHeight w:val="789" w:hRule="atLeast"/>
        </w:trPr>
        <w:tc>
          <w:tcPr>
            <w:tcW w:w="1576" w:type="pct"/>
          </w:tcPr>
          <w:p>
            <w:pPr>
              <w:jc w:val="distribute"/>
              <w:rPr>
                <w:rFonts w:eastAsia="黑体" w:cs="Times New Roman"/>
                <w:kern w:val="0"/>
                <w:sz w:val="30"/>
                <w:szCs w:val="30"/>
              </w:rPr>
            </w:pPr>
            <w:r>
              <w:rPr>
                <w:rFonts w:eastAsia="黑体" w:cs="Times New Roman"/>
                <w:kern w:val="0"/>
                <w:sz w:val="30"/>
                <w:szCs w:val="30"/>
              </w:rPr>
              <w:t>建设单位（盖章）：</w:t>
            </w:r>
          </w:p>
        </w:tc>
        <w:tc>
          <w:tcPr>
            <w:tcW w:w="3424" w:type="pct"/>
          </w:tcPr>
          <w:p>
            <w:pPr>
              <w:jc w:val="distribute"/>
              <w:rPr>
                <w:rFonts w:eastAsia="黑体" w:cs="Times New Roman"/>
                <w:kern w:val="0"/>
                <w:sz w:val="30"/>
                <w:szCs w:val="30"/>
              </w:rPr>
            </w:pPr>
            <w:r>
              <w:rPr>
                <w:rFonts w:hint="eastAsia" w:eastAsia="黑体" w:cs="Times New Roman"/>
                <w:kern w:val="0"/>
                <w:sz w:val="30"/>
                <w:szCs w:val="30"/>
              </w:rPr>
              <w:t>海宁市铁路投资集团有限公司</w:t>
            </w:r>
          </w:p>
        </w:tc>
      </w:tr>
      <w:tr>
        <w:tblPrEx>
          <w:tblCellMar>
            <w:top w:w="0" w:type="dxa"/>
            <w:left w:w="108" w:type="dxa"/>
            <w:bottom w:w="0" w:type="dxa"/>
            <w:right w:w="108" w:type="dxa"/>
          </w:tblCellMar>
        </w:tblPrEx>
        <w:trPr>
          <w:trHeight w:val="789" w:hRule="atLeast"/>
        </w:trPr>
        <w:tc>
          <w:tcPr>
            <w:tcW w:w="1576" w:type="pct"/>
          </w:tcPr>
          <w:p>
            <w:pPr>
              <w:jc w:val="distribute"/>
              <w:rPr>
                <w:rFonts w:eastAsia="黑体" w:cs="Times New Roman"/>
                <w:kern w:val="0"/>
                <w:sz w:val="30"/>
                <w:szCs w:val="30"/>
              </w:rPr>
            </w:pPr>
            <w:r>
              <w:rPr>
                <w:rFonts w:hint="eastAsia" w:eastAsia="黑体" w:cs="Times New Roman"/>
                <w:kern w:val="0"/>
                <w:sz w:val="30"/>
                <w:szCs w:val="30"/>
              </w:rPr>
              <w:t>编制日期：</w:t>
            </w:r>
          </w:p>
        </w:tc>
        <w:tc>
          <w:tcPr>
            <w:tcW w:w="3424" w:type="pct"/>
          </w:tcPr>
          <w:p>
            <w:pPr>
              <w:jc w:val="center"/>
              <w:rPr>
                <w:rFonts w:eastAsia="黑体" w:cs="Times New Roman"/>
                <w:kern w:val="0"/>
                <w:sz w:val="30"/>
                <w:szCs w:val="30"/>
              </w:rPr>
            </w:pPr>
            <w:r>
              <w:rPr>
                <w:rFonts w:eastAsia="黑体" w:cs="Times New Roman"/>
                <w:kern w:val="0"/>
                <w:sz w:val="30"/>
                <w:szCs w:val="30"/>
              </w:rPr>
              <w:t>二〇二</w:t>
            </w:r>
            <w:r>
              <w:rPr>
                <w:rFonts w:hint="eastAsia" w:eastAsia="黑体" w:cs="Times New Roman"/>
                <w:kern w:val="0"/>
                <w:sz w:val="30"/>
                <w:szCs w:val="30"/>
              </w:rPr>
              <w:t>三</w:t>
            </w:r>
            <w:r>
              <w:rPr>
                <w:rFonts w:eastAsia="黑体" w:cs="Times New Roman"/>
                <w:kern w:val="0"/>
                <w:sz w:val="30"/>
                <w:szCs w:val="30"/>
              </w:rPr>
              <w:t>年</w:t>
            </w:r>
            <w:r>
              <w:rPr>
                <w:rFonts w:hint="eastAsia" w:eastAsia="黑体" w:cs="Times New Roman"/>
                <w:kern w:val="0"/>
                <w:sz w:val="30"/>
                <w:szCs w:val="30"/>
              </w:rPr>
              <w:t>八</w:t>
            </w:r>
            <w:r>
              <w:rPr>
                <w:rFonts w:eastAsia="黑体" w:cs="Times New Roman"/>
                <w:kern w:val="0"/>
                <w:sz w:val="30"/>
                <w:szCs w:val="30"/>
              </w:rPr>
              <w:t>月</w:t>
            </w:r>
          </w:p>
        </w:tc>
      </w:tr>
      <w:tr>
        <w:tblPrEx>
          <w:tblCellMar>
            <w:top w:w="0" w:type="dxa"/>
            <w:left w:w="108" w:type="dxa"/>
            <w:bottom w:w="0" w:type="dxa"/>
            <w:right w:w="108" w:type="dxa"/>
          </w:tblCellMar>
        </w:tblPrEx>
        <w:trPr>
          <w:trHeight w:val="789" w:hRule="atLeast"/>
        </w:trPr>
        <w:tc>
          <w:tcPr>
            <w:tcW w:w="1576" w:type="pct"/>
          </w:tcPr>
          <w:p>
            <w:pPr>
              <w:jc w:val="distribute"/>
              <w:rPr>
                <w:rFonts w:eastAsia="黑体" w:cs="Times New Roman"/>
                <w:kern w:val="0"/>
                <w:sz w:val="30"/>
                <w:szCs w:val="30"/>
              </w:rPr>
            </w:pPr>
          </w:p>
        </w:tc>
        <w:tc>
          <w:tcPr>
            <w:tcW w:w="3424" w:type="pct"/>
          </w:tcPr>
          <w:p>
            <w:pPr>
              <w:jc w:val="distribute"/>
              <w:rPr>
                <w:rFonts w:eastAsia="黑体" w:cs="Times New Roman"/>
                <w:kern w:val="0"/>
                <w:sz w:val="30"/>
                <w:szCs w:val="30"/>
              </w:rPr>
            </w:pPr>
          </w:p>
        </w:tc>
      </w:tr>
      <w:tr>
        <w:tblPrEx>
          <w:tblCellMar>
            <w:top w:w="0" w:type="dxa"/>
            <w:left w:w="108" w:type="dxa"/>
            <w:bottom w:w="0" w:type="dxa"/>
            <w:right w:w="108" w:type="dxa"/>
          </w:tblCellMar>
        </w:tblPrEx>
        <w:trPr>
          <w:trHeight w:val="789" w:hRule="atLeast"/>
        </w:trPr>
        <w:tc>
          <w:tcPr>
            <w:tcW w:w="1576" w:type="pct"/>
          </w:tcPr>
          <w:p>
            <w:pPr>
              <w:jc w:val="distribute"/>
              <w:rPr>
                <w:rFonts w:eastAsia="黑体" w:cs="Times New Roman"/>
                <w:kern w:val="0"/>
                <w:sz w:val="30"/>
                <w:szCs w:val="30"/>
              </w:rPr>
            </w:pPr>
          </w:p>
        </w:tc>
        <w:tc>
          <w:tcPr>
            <w:tcW w:w="3424" w:type="pct"/>
          </w:tcPr>
          <w:p>
            <w:pPr>
              <w:jc w:val="distribute"/>
              <w:rPr>
                <w:rFonts w:eastAsia="黑体" w:cs="Times New Roman"/>
                <w:kern w:val="0"/>
                <w:sz w:val="30"/>
                <w:szCs w:val="30"/>
              </w:rPr>
            </w:pPr>
          </w:p>
        </w:tc>
      </w:tr>
      <w:tr>
        <w:tblPrEx>
          <w:tblCellMar>
            <w:top w:w="0" w:type="dxa"/>
            <w:left w:w="108" w:type="dxa"/>
            <w:bottom w:w="0" w:type="dxa"/>
            <w:right w:w="108" w:type="dxa"/>
          </w:tblCellMar>
        </w:tblPrEx>
        <w:trPr>
          <w:trHeight w:val="789" w:hRule="atLeast"/>
        </w:trPr>
        <w:tc>
          <w:tcPr>
            <w:tcW w:w="1576" w:type="pct"/>
          </w:tcPr>
          <w:p>
            <w:pPr>
              <w:jc w:val="distribute"/>
              <w:rPr>
                <w:rFonts w:eastAsia="黑体" w:cs="Times New Roman"/>
                <w:kern w:val="0"/>
                <w:sz w:val="30"/>
                <w:szCs w:val="30"/>
              </w:rPr>
            </w:pPr>
          </w:p>
          <w:p>
            <w:pPr>
              <w:ind w:firstLine="420"/>
              <w:rPr>
                <w:rFonts w:cs="Times New Roman"/>
              </w:rPr>
            </w:pPr>
          </w:p>
          <w:p>
            <w:pPr>
              <w:ind w:firstLine="420"/>
              <w:rPr>
                <w:rFonts w:cs="Times New Roman"/>
              </w:rPr>
            </w:pPr>
          </w:p>
          <w:p>
            <w:pPr>
              <w:jc w:val="center"/>
              <w:rPr>
                <w:rFonts w:cs="Times New Roman"/>
              </w:rPr>
            </w:pPr>
          </w:p>
        </w:tc>
        <w:tc>
          <w:tcPr>
            <w:tcW w:w="3424" w:type="pct"/>
          </w:tcPr>
          <w:p>
            <w:pPr>
              <w:jc w:val="distribute"/>
              <w:rPr>
                <w:rFonts w:eastAsia="黑体" w:cs="Times New Roman"/>
                <w:kern w:val="0"/>
                <w:sz w:val="30"/>
                <w:szCs w:val="30"/>
              </w:rPr>
            </w:pPr>
          </w:p>
        </w:tc>
      </w:tr>
      <w:tr>
        <w:tblPrEx>
          <w:tblCellMar>
            <w:top w:w="0" w:type="dxa"/>
            <w:left w:w="108" w:type="dxa"/>
            <w:bottom w:w="0" w:type="dxa"/>
            <w:right w:w="108" w:type="dxa"/>
          </w:tblCellMar>
        </w:tblPrEx>
        <w:trPr>
          <w:trHeight w:val="789" w:hRule="atLeast"/>
        </w:trPr>
        <w:tc>
          <w:tcPr>
            <w:tcW w:w="5000" w:type="pct"/>
            <w:gridSpan w:val="2"/>
          </w:tcPr>
          <w:p>
            <w:pPr>
              <w:jc w:val="center"/>
              <w:rPr>
                <w:rFonts w:eastAsia="黑体" w:cs="Times New Roman"/>
                <w:kern w:val="0"/>
                <w:sz w:val="30"/>
                <w:szCs w:val="30"/>
              </w:rPr>
            </w:pPr>
            <w:r>
              <w:rPr>
                <w:rFonts w:hint="eastAsia" w:eastAsia="黑体" w:cs="Times New Roman"/>
                <w:kern w:val="0"/>
                <w:sz w:val="30"/>
                <w:szCs w:val="30"/>
              </w:rPr>
              <w:t>中华人民共和国生态环境部制</w:t>
            </w:r>
          </w:p>
        </w:tc>
      </w:tr>
      <w:tr>
        <w:tblPrEx>
          <w:tblCellMar>
            <w:top w:w="0" w:type="dxa"/>
            <w:left w:w="108" w:type="dxa"/>
            <w:bottom w:w="0" w:type="dxa"/>
            <w:right w:w="108" w:type="dxa"/>
          </w:tblCellMar>
        </w:tblPrEx>
        <w:trPr>
          <w:trHeight w:val="789" w:hRule="atLeast"/>
        </w:trPr>
        <w:tc>
          <w:tcPr>
            <w:tcW w:w="1576" w:type="pct"/>
          </w:tcPr>
          <w:p>
            <w:pPr>
              <w:jc w:val="distribute"/>
              <w:rPr>
                <w:rFonts w:eastAsia="黑体" w:cs="Times New Roman"/>
                <w:kern w:val="0"/>
                <w:sz w:val="30"/>
                <w:szCs w:val="30"/>
              </w:rPr>
            </w:pPr>
          </w:p>
        </w:tc>
        <w:tc>
          <w:tcPr>
            <w:tcW w:w="3424" w:type="pct"/>
          </w:tcPr>
          <w:p>
            <w:pPr>
              <w:jc w:val="center"/>
              <w:rPr>
                <w:rFonts w:eastAsia="黑体" w:cs="Times New Roman"/>
                <w:kern w:val="0"/>
                <w:sz w:val="30"/>
                <w:szCs w:val="30"/>
              </w:rPr>
            </w:pPr>
          </w:p>
        </w:tc>
      </w:tr>
    </w:tbl>
    <w:p>
      <w:pPr>
        <w:rPr>
          <w:rFonts w:cs="Times New Roman"/>
        </w:rPr>
        <w:sectPr>
          <w:footerReference r:id="rId3" w:type="default"/>
          <w:pgSz w:w="11906" w:h="16838"/>
          <w:pgMar w:top="1418" w:right="1418" w:bottom="1418" w:left="1418" w:header="851" w:footer="992" w:gutter="0"/>
          <w:cols w:space="425" w:num="1"/>
          <w:docGrid w:type="lines" w:linePitch="312" w:charSpace="0"/>
        </w:sectPr>
      </w:pPr>
    </w:p>
    <w:p>
      <w:pPr>
        <w:pStyle w:val="2"/>
        <w:jc w:val="center"/>
      </w:pPr>
    </w:p>
    <w:p>
      <w:pPr>
        <w:pStyle w:val="2"/>
        <w:sectPr>
          <w:pgSz w:w="11906" w:h="16838"/>
          <w:pgMar w:top="1418" w:right="1418" w:bottom="1418" w:left="1418" w:header="851" w:footer="992" w:gutter="0"/>
          <w:cols w:space="425" w:num="1"/>
          <w:docGrid w:type="lines" w:linePitch="312" w:charSpace="0"/>
        </w:sectPr>
      </w:pPr>
    </w:p>
    <w:p>
      <w:pPr>
        <w:jc w:val="center"/>
        <w:rPr>
          <w:rFonts w:eastAsia="黑体" w:cs="Times New Roman"/>
          <w:kern w:val="0"/>
          <w:sz w:val="30"/>
          <w:szCs w:val="30"/>
        </w:rPr>
      </w:pPr>
      <w:r>
        <w:rPr>
          <w:rFonts w:eastAsia="黑体" w:cs="Times New Roman"/>
          <w:kern w:val="0"/>
          <w:sz w:val="30"/>
          <w:szCs w:val="30"/>
        </w:rPr>
        <w:t>目  录</w:t>
      </w:r>
    </w:p>
    <w:p>
      <w:pPr>
        <w:pStyle w:val="20"/>
        <w:rPr>
          <w:rFonts w:cs="Times New Roman"/>
          <w:sz w:val="21"/>
          <w:szCs w:val="22"/>
        </w:rPr>
      </w:pPr>
      <w:r>
        <w:rPr>
          <w:rFonts w:eastAsia="黑体" w:cs="Times New Roman"/>
          <w:kern w:val="0"/>
          <w:sz w:val="30"/>
          <w:szCs w:val="30"/>
        </w:rPr>
        <w:fldChar w:fldCharType="begin"/>
      </w:r>
      <w:r>
        <w:rPr>
          <w:rFonts w:eastAsia="黑体" w:cs="Times New Roman"/>
          <w:kern w:val="0"/>
          <w:sz w:val="30"/>
          <w:szCs w:val="30"/>
        </w:rPr>
        <w:instrText xml:space="preserve"> TOC \o "1-1" \h \z \u </w:instrText>
      </w:r>
      <w:r>
        <w:rPr>
          <w:rFonts w:eastAsia="黑体" w:cs="Times New Roman"/>
          <w:kern w:val="0"/>
          <w:sz w:val="30"/>
          <w:szCs w:val="30"/>
        </w:rPr>
        <w:fldChar w:fldCharType="separate"/>
      </w:r>
      <w:r>
        <w:fldChar w:fldCharType="begin"/>
      </w:r>
      <w:r>
        <w:instrText xml:space="preserve"> HYPERLINK \l "_Toc103786366" </w:instrText>
      </w:r>
      <w:r>
        <w:fldChar w:fldCharType="separate"/>
      </w:r>
      <w:r>
        <w:rPr>
          <w:rStyle w:val="28"/>
          <w:rFonts w:cs="Times New Roman"/>
          <w:bCs/>
          <w:color w:val="auto"/>
        </w:rPr>
        <w:t>一、建设项目基本情况</w:t>
      </w:r>
      <w:r>
        <w:rPr>
          <w:rFonts w:cs="Times New Roman"/>
        </w:rPr>
        <w:tab/>
      </w:r>
      <w:r>
        <w:rPr>
          <w:rFonts w:cs="Times New Roman"/>
        </w:rPr>
        <w:fldChar w:fldCharType="begin"/>
      </w:r>
      <w:r>
        <w:rPr>
          <w:rFonts w:cs="Times New Roman"/>
        </w:rPr>
        <w:instrText xml:space="preserve"> PAGEREF _Toc103786366 \h </w:instrText>
      </w:r>
      <w:r>
        <w:rPr>
          <w:rFonts w:cs="Times New Roman"/>
        </w:rPr>
        <w:fldChar w:fldCharType="separate"/>
      </w:r>
      <w:r>
        <w:rPr>
          <w:rFonts w:cs="Times New Roman"/>
        </w:rPr>
        <w:t>1</w:t>
      </w:r>
      <w:r>
        <w:rPr>
          <w:rFonts w:cs="Times New Roman"/>
        </w:rPr>
        <w:fldChar w:fldCharType="end"/>
      </w:r>
      <w:r>
        <w:rPr>
          <w:rFonts w:cs="Times New Roman"/>
        </w:rPr>
        <w:fldChar w:fldCharType="end"/>
      </w:r>
    </w:p>
    <w:p>
      <w:pPr>
        <w:pStyle w:val="20"/>
        <w:rPr>
          <w:rFonts w:cs="Times New Roman"/>
          <w:sz w:val="21"/>
          <w:szCs w:val="22"/>
        </w:rPr>
      </w:pPr>
      <w:r>
        <w:fldChar w:fldCharType="begin"/>
      </w:r>
      <w:r>
        <w:instrText xml:space="preserve"> HYPERLINK \l "_Toc103786367" </w:instrText>
      </w:r>
      <w:r>
        <w:fldChar w:fldCharType="separate"/>
      </w:r>
      <w:r>
        <w:rPr>
          <w:rStyle w:val="28"/>
          <w:rFonts w:cs="Times New Roman"/>
          <w:color w:val="auto"/>
        </w:rPr>
        <w:t>二、建设内容</w:t>
      </w:r>
      <w:r>
        <w:rPr>
          <w:rFonts w:cs="Times New Roman"/>
        </w:rPr>
        <w:tab/>
      </w:r>
      <w:r>
        <w:rPr>
          <w:rFonts w:cs="Times New Roman"/>
        </w:rPr>
        <w:fldChar w:fldCharType="begin"/>
      </w:r>
      <w:r>
        <w:rPr>
          <w:rFonts w:cs="Times New Roman"/>
        </w:rPr>
        <w:instrText xml:space="preserve"> PAGEREF _Toc103786367 \h </w:instrText>
      </w:r>
      <w:r>
        <w:rPr>
          <w:rFonts w:cs="Times New Roman"/>
        </w:rPr>
        <w:fldChar w:fldCharType="separate"/>
      </w:r>
      <w:r>
        <w:rPr>
          <w:rFonts w:cs="Times New Roman"/>
        </w:rPr>
        <w:t>4</w:t>
      </w:r>
      <w:r>
        <w:rPr>
          <w:rFonts w:cs="Times New Roman"/>
        </w:rPr>
        <w:fldChar w:fldCharType="end"/>
      </w:r>
      <w:r>
        <w:rPr>
          <w:rFonts w:cs="Times New Roman"/>
        </w:rPr>
        <w:fldChar w:fldCharType="end"/>
      </w:r>
    </w:p>
    <w:p>
      <w:pPr>
        <w:pStyle w:val="20"/>
        <w:rPr>
          <w:rFonts w:cs="Times New Roman"/>
          <w:sz w:val="21"/>
          <w:szCs w:val="22"/>
        </w:rPr>
      </w:pPr>
      <w:r>
        <w:fldChar w:fldCharType="begin"/>
      </w:r>
      <w:r>
        <w:instrText xml:space="preserve"> HYPERLINK \l "_Toc103786368" </w:instrText>
      </w:r>
      <w:r>
        <w:fldChar w:fldCharType="separate"/>
      </w:r>
      <w:r>
        <w:rPr>
          <w:rStyle w:val="28"/>
          <w:rFonts w:cs="Times New Roman"/>
          <w:bCs/>
          <w:color w:val="auto"/>
        </w:rPr>
        <w:t>三、生态环境现状、保护目标及评价标准</w:t>
      </w:r>
      <w:r>
        <w:rPr>
          <w:rFonts w:cs="Times New Roman"/>
        </w:rPr>
        <w:tab/>
      </w:r>
      <w:r>
        <w:rPr>
          <w:rFonts w:cs="Times New Roman"/>
        </w:rPr>
        <w:fldChar w:fldCharType="begin"/>
      </w:r>
      <w:r>
        <w:rPr>
          <w:rFonts w:cs="Times New Roman"/>
        </w:rPr>
        <w:instrText xml:space="preserve"> PAGEREF _Toc103786368 \h </w:instrText>
      </w:r>
      <w:r>
        <w:rPr>
          <w:rFonts w:cs="Times New Roman"/>
        </w:rPr>
        <w:fldChar w:fldCharType="separate"/>
      </w:r>
      <w:r>
        <w:rPr>
          <w:rFonts w:cs="Times New Roman"/>
        </w:rPr>
        <w:t>7</w:t>
      </w:r>
      <w:r>
        <w:rPr>
          <w:rFonts w:cs="Times New Roman"/>
        </w:rPr>
        <w:fldChar w:fldCharType="end"/>
      </w:r>
      <w:r>
        <w:rPr>
          <w:rFonts w:cs="Times New Roman"/>
        </w:rPr>
        <w:fldChar w:fldCharType="end"/>
      </w:r>
    </w:p>
    <w:p>
      <w:pPr>
        <w:pStyle w:val="20"/>
        <w:rPr>
          <w:rFonts w:cs="Times New Roman"/>
          <w:sz w:val="21"/>
          <w:szCs w:val="22"/>
        </w:rPr>
      </w:pPr>
      <w:r>
        <w:fldChar w:fldCharType="begin"/>
      </w:r>
      <w:r>
        <w:instrText xml:space="preserve"> HYPERLINK \l "_Toc103786369" </w:instrText>
      </w:r>
      <w:r>
        <w:fldChar w:fldCharType="separate"/>
      </w:r>
      <w:r>
        <w:rPr>
          <w:rStyle w:val="28"/>
          <w:rFonts w:cs="Times New Roman"/>
          <w:color w:val="auto"/>
        </w:rPr>
        <w:t>四、生态环境影响分析</w:t>
      </w:r>
      <w:r>
        <w:rPr>
          <w:rFonts w:cs="Times New Roman"/>
        </w:rPr>
        <w:tab/>
      </w:r>
      <w:r>
        <w:rPr>
          <w:rFonts w:cs="Times New Roman"/>
        </w:rPr>
        <w:fldChar w:fldCharType="begin"/>
      </w:r>
      <w:r>
        <w:rPr>
          <w:rFonts w:cs="Times New Roman"/>
        </w:rPr>
        <w:instrText xml:space="preserve"> PAGEREF _Toc103786369 \h </w:instrText>
      </w:r>
      <w:r>
        <w:rPr>
          <w:rFonts w:cs="Times New Roman"/>
        </w:rPr>
        <w:fldChar w:fldCharType="separate"/>
      </w:r>
      <w:r>
        <w:rPr>
          <w:rFonts w:cs="Times New Roman"/>
        </w:rPr>
        <w:t>15</w:t>
      </w:r>
      <w:r>
        <w:rPr>
          <w:rFonts w:cs="Times New Roman"/>
        </w:rPr>
        <w:fldChar w:fldCharType="end"/>
      </w:r>
      <w:r>
        <w:rPr>
          <w:rFonts w:cs="Times New Roman"/>
        </w:rPr>
        <w:fldChar w:fldCharType="end"/>
      </w:r>
    </w:p>
    <w:p>
      <w:pPr>
        <w:pStyle w:val="20"/>
        <w:rPr>
          <w:rFonts w:cs="Times New Roman"/>
          <w:sz w:val="21"/>
          <w:szCs w:val="22"/>
        </w:rPr>
      </w:pPr>
      <w:r>
        <w:fldChar w:fldCharType="begin"/>
      </w:r>
      <w:r>
        <w:instrText xml:space="preserve"> HYPERLINK \l "_Toc103786370" </w:instrText>
      </w:r>
      <w:r>
        <w:fldChar w:fldCharType="separate"/>
      </w:r>
      <w:r>
        <w:rPr>
          <w:rStyle w:val="28"/>
          <w:rFonts w:cs="Times New Roman"/>
          <w:bCs/>
          <w:color w:val="auto"/>
        </w:rPr>
        <w:t>五、主要生态环境保护措施</w:t>
      </w:r>
      <w:r>
        <w:rPr>
          <w:rFonts w:cs="Times New Roman"/>
        </w:rPr>
        <w:tab/>
      </w:r>
      <w:r>
        <w:rPr>
          <w:rFonts w:cs="Times New Roman"/>
        </w:rPr>
        <w:fldChar w:fldCharType="begin"/>
      </w:r>
      <w:r>
        <w:rPr>
          <w:rFonts w:cs="Times New Roman"/>
        </w:rPr>
        <w:instrText xml:space="preserve"> PAGEREF _Toc103786370 \h </w:instrText>
      </w:r>
      <w:r>
        <w:rPr>
          <w:rFonts w:cs="Times New Roman"/>
        </w:rPr>
        <w:fldChar w:fldCharType="separate"/>
      </w:r>
      <w:r>
        <w:rPr>
          <w:rFonts w:cs="Times New Roman"/>
        </w:rPr>
        <w:t>22</w:t>
      </w:r>
      <w:r>
        <w:rPr>
          <w:rFonts w:cs="Times New Roman"/>
        </w:rPr>
        <w:fldChar w:fldCharType="end"/>
      </w:r>
      <w:r>
        <w:rPr>
          <w:rFonts w:cs="Times New Roman"/>
        </w:rPr>
        <w:fldChar w:fldCharType="end"/>
      </w:r>
    </w:p>
    <w:p>
      <w:pPr>
        <w:pStyle w:val="20"/>
        <w:rPr>
          <w:rFonts w:cs="Times New Roman"/>
          <w:sz w:val="21"/>
          <w:szCs w:val="22"/>
        </w:rPr>
      </w:pPr>
      <w:r>
        <w:fldChar w:fldCharType="begin"/>
      </w:r>
      <w:r>
        <w:instrText xml:space="preserve"> HYPERLINK \l "_Toc103786371" </w:instrText>
      </w:r>
      <w:r>
        <w:fldChar w:fldCharType="separate"/>
      </w:r>
      <w:r>
        <w:rPr>
          <w:rStyle w:val="28"/>
          <w:rFonts w:cs="Times New Roman"/>
          <w:bCs/>
          <w:color w:val="auto"/>
        </w:rPr>
        <w:t>六、生态环境保护措施监督检查清单</w:t>
      </w:r>
      <w:r>
        <w:rPr>
          <w:rFonts w:cs="Times New Roman"/>
        </w:rPr>
        <w:tab/>
      </w:r>
      <w:r>
        <w:rPr>
          <w:rFonts w:cs="Times New Roman"/>
        </w:rPr>
        <w:fldChar w:fldCharType="begin"/>
      </w:r>
      <w:r>
        <w:rPr>
          <w:rFonts w:cs="Times New Roman"/>
        </w:rPr>
        <w:instrText xml:space="preserve"> PAGEREF _Toc103786371 \h </w:instrText>
      </w:r>
      <w:r>
        <w:rPr>
          <w:rFonts w:cs="Times New Roman"/>
        </w:rPr>
        <w:fldChar w:fldCharType="separate"/>
      </w:r>
      <w:r>
        <w:rPr>
          <w:rFonts w:cs="Times New Roman"/>
        </w:rPr>
        <w:t>26</w:t>
      </w:r>
      <w:r>
        <w:rPr>
          <w:rFonts w:cs="Times New Roman"/>
        </w:rPr>
        <w:fldChar w:fldCharType="end"/>
      </w:r>
      <w:r>
        <w:rPr>
          <w:rFonts w:cs="Times New Roman"/>
        </w:rPr>
        <w:fldChar w:fldCharType="end"/>
      </w:r>
    </w:p>
    <w:p>
      <w:pPr>
        <w:pStyle w:val="20"/>
        <w:rPr>
          <w:rFonts w:cs="Times New Roman"/>
          <w:sz w:val="21"/>
          <w:szCs w:val="22"/>
        </w:rPr>
      </w:pPr>
      <w:r>
        <w:fldChar w:fldCharType="begin"/>
      </w:r>
      <w:r>
        <w:instrText xml:space="preserve"> HYPERLINK \l "_Toc103786380" </w:instrText>
      </w:r>
      <w:r>
        <w:fldChar w:fldCharType="separate"/>
      </w:r>
      <w:r>
        <w:rPr>
          <w:rStyle w:val="28"/>
          <w:rFonts w:cs="Times New Roman"/>
          <w:bCs/>
          <w:color w:val="auto"/>
        </w:rPr>
        <w:t>七、结  论</w:t>
      </w:r>
      <w:r>
        <w:rPr>
          <w:rFonts w:cs="Times New Roman"/>
        </w:rPr>
        <w:tab/>
      </w:r>
      <w:r>
        <w:rPr>
          <w:rFonts w:cs="Times New Roman"/>
        </w:rPr>
        <w:fldChar w:fldCharType="begin"/>
      </w:r>
      <w:r>
        <w:rPr>
          <w:rFonts w:cs="Times New Roman"/>
        </w:rPr>
        <w:instrText xml:space="preserve"> PAGEREF _Toc103786380 \h </w:instrText>
      </w:r>
      <w:r>
        <w:rPr>
          <w:rFonts w:cs="Times New Roman"/>
        </w:rPr>
        <w:fldChar w:fldCharType="separate"/>
      </w:r>
      <w:r>
        <w:rPr>
          <w:rFonts w:cs="Times New Roman"/>
        </w:rPr>
        <w:t>29</w:t>
      </w:r>
      <w:r>
        <w:rPr>
          <w:rFonts w:cs="Times New Roman"/>
        </w:rPr>
        <w:fldChar w:fldCharType="end"/>
      </w:r>
      <w:r>
        <w:rPr>
          <w:rFonts w:cs="Times New Roman"/>
        </w:rPr>
        <w:fldChar w:fldCharType="end"/>
      </w:r>
    </w:p>
    <w:p>
      <w:pPr>
        <w:pStyle w:val="20"/>
        <w:rPr>
          <w:rFonts w:eastAsia="黑体" w:cs="Times New Roman"/>
          <w:kern w:val="0"/>
          <w:sz w:val="30"/>
          <w:szCs w:val="30"/>
        </w:rPr>
      </w:pPr>
      <w:r>
        <w:fldChar w:fldCharType="begin"/>
      </w:r>
      <w:r>
        <w:instrText xml:space="preserve"> HYPERLINK \l "_Toc103786381" </w:instrText>
      </w:r>
      <w:r>
        <w:fldChar w:fldCharType="separate"/>
      </w:r>
      <w:r>
        <w:rPr>
          <w:rStyle w:val="28"/>
          <w:rFonts w:cs="Times New Roman"/>
          <w:bCs/>
          <w:color w:val="auto"/>
        </w:rPr>
        <w:t>电磁环境影响专项评价</w:t>
      </w:r>
      <w:r>
        <w:rPr>
          <w:rFonts w:cs="Times New Roman"/>
        </w:rPr>
        <w:tab/>
      </w:r>
      <w:r>
        <w:rPr>
          <w:rFonts w:cs="Times New Roman"/>
        </w:rPr>
        <w:fldChar w:fldCharType="begin"/>
      </w:r>
      <w:r>
        <w:rPr>
          <w:rFonts w:cs="Times New Roman"/>
        </w:rPr>
        <w:instrText xml:space="preserve"> PAGEREF _Toc103786381 \h </w:instrText>
      </w:r>
      <w:r>
        <w:rPr>
          <w:rFonts w:cs="Times New Roman"/>
        </w:rPr>
        <w:fldChar w:fldCharType="separate"/>
      </w:r>
      <w:r>
        <w:rPr>
          <w:rFonts w:cs="Times New Roman"/>
        </w:rPr>
        <w:t>30</w:t>
      </w:r>
      <w:r>
        <w:rPr>
          <w:rFonts w:cs="Times New Roman"/>
        </w:rPr>
        <w:fldChar w:fldCharType="end"/>
      </w:r>
      <w:r>
        <w:rPr>
          <w:rFonts w:cs="Times New Roman"/>
        </w:rPr>
        <w:fldChar w:fldCharType="end"/>
      </w:r>
      <w:r>
        <w:rPr>
          <w:rFonts w:eastAsia="黑体" w:cs="Times New Roman"/>
          <w:kern w:val="0"/>
          <w:sz w:val="30"/>
          <w:szCs w:val="30"/>
        </w:rPr>
        <w:fldChar w:fldCharType="end"/>
      </w:r>
    </w:p>
    <w:p/>
    <w:p>
      <w:pPr>
        <w:rPr>
          <w:rFonts w:cs="Times New Roman"/>
          <w:b/>
          <w:bCs/>
          <w:sz w:val="24"/>
          <w:szCs w:val="24"/>
        </w:rPr>
      </w:pPr>
      <w:r>
        <w:rPr>
          <w:rFonts w:cs="Times New Roman"/>
          <w:b/>
          <w:bCs/>
          <w:sz w:val="24"/>
          <w:szCs w:val="24"/>
        </w:rPr>
        <w:t>附图：</w:t>
      </w:r>
    </w:p>
    <w:p>
      <w:pPr>
        <w:spacing w:line="360" w:lineRule="auto"/>
        <w:ind w:firstLine="480" w:firstLineChars="200"/>
        <w:rPr>
          <w:rFonts w:cs="Times New Roman"/>
          <w:sz w:val="24"/>
          <w:szCs w:val="24"/>
        </w:rPr>
      </w:pPr>
      <w:r>
        <w:rPr>
          <w:rFonts w:hint="eastAsia" w:cs="Times New Roman"/>
          <w:sz w:val="24"/>
          <w:szCs w:val="24"/>
        </w:rPr>
        <w:t>附图1本项目地理位置图</w:t>
      </w:r>
    </w:p>
    <w:p>
      <w:pPr>
        <w:spacing w:line="360" w:lineRule="auto"/>
        <w:ind w:firstLine="480" w:firstLineChars="200"/>
        <w:rPr>
          <w:rFonts w:cs="Times New Roman"/>
          <w:sz w:val="24"/>
          <w:szCs w:val="24"/>
        </w:rPr>
      </w:pPr>
      <w:r>
        <w:rPr>
          <w:rFonts w:hint="eastAsia" w:cs="Times New Roman"/>
          <w:sz w:val="24"/>
          <w:szCs w:val="24"/>
        </w:rPr>
        <w:t>附图2本项目与海宁市“三线一单”生态环境分区位置关系图</w:t>
      </w:r>
    </w:p>
    <w:p>
      <w:pPr>
        <w:spacing w:line="360" w:lineRule="auto"/>
        <w:ind w:firstLine="480" w:firstLineChars="200"/>
        <w:rPr>
          <w:rFonts w:cs="Times New Roman"/>
          <w:sz w:val="24"/>
          <w:szCs w:val="24"/>
        </w:rPr>
      </w:pPr>
      <w:r>
        <w:rPr>
          <w:rFonts w:hint="eastAsia" w:cs="Times New Roman"/>
          <w:sz w:val="24"/>
          <w:szCs w:val="24"/>
        </w:rPr>
        <w:t>附图3本项目与海宁市水环境功能区划位置关系示意图</w:t>
      </w:r>
    </w:p>
    <w:p>
      <w:pPr>
        <w:spacing w:line="360" w:lineRule="auto"/>
        <w:ind w:firstLine="480" w:firstLineChars="200"/>
        <w:rPr>
          <w:rFonts w:cs="Times New Roman"/>
          <w:sz w:val="24"/>
          <w:szCs w:val="24"/>
        </w:rPr>
      </w:pPr>
      <w:r>
        <w:rPr>
          <w:rFonts w:hint="eastAsia" w:cs="Times New Roman"/>
          <w:sz w:val="24"/>
          <w:szCs w:val="24"/>
        </w:rPr>
        <w:t>附图4本项目与海宁市环境空气功能区划位置关系示意图</w:t>
      </w:r>
    </w:p>
    <w:p>
      <w:pPr>
        <w:spacing w:line="360" w:lineRule="auto"/>
        <w:ind w:firstLine="480" w:firstLineChars="200"/>
        <w:rPr>
          <w:rFonts w:cs="Times New Roman"/>
          <w:sz w:val="24"/>
          <w:szCs w:val="24"/>
        </w:rPr>
      </w:pPr>
      <w:r>
        <w:rPr>
          <w:rFonts w:hint="eastAsia" w:cs="Times New Roman"/>
          <w:sz w:val="24"/>
          <w:szCs w:val="24"/>
        </w:rPr>
        <w:t>附图5本项目海宁市生态保护红线位置关系示意图</w:t>
      </w:r>
    </w:p>
    <w:p>
      <w:pPr>
        <w:spacing w:line="360" w:lineRule="auto"/>
        <w:ind w:firstLine="480" w:firstLineChars="200"/>
        <w:rPr>
          <w:rFonts w:cs="Times New Roman"/>
          <w:sz w:val="24"/>
          <w:szCs w:val="24"/>
        </w:rPr>
      </w:pPr>
      <w:r>
        <w:rPr>
          <w:rFonts w:hint="eastAsia" w:cs="Times New Roman"/>
          <w:sz w:val="24"/>
          <w:szCs w:val="24"/>
        </w:rPr>
        <w:t>附图6本项目输电线路路径图</w:t>
      </w:r>
    </w:p>
    <w:p>
      <w:pPr>
        <w:spacing w:line="360" w:lineRule="auto"/>
        <w:ind w:firstLine="480" w:firstLineChars="200"/>
        <w:rPr>
          <w:rFonts w:cs="Times New Roman"/>
          <w:sz w:val="24"/>
          <w:szCs w:val="24"/>
        </w:rPr>
      </w:pPr>
      <w:r>
        <w:rPr>
          <w:rFonts w:hint="eastAsia" w:cs="Times New Roman"/>
          <w:sz w:val="24"/>
          <w:szCs w:val="24"/>
        </w:rPr>
        <w:t>附图7本项目杆塔一览图</w:t>
      </w:r>
    </w:p>
    <w:p>
      <w:pPr>
        <w:spacing w:line="360" w:lineRule="auto"/>
        <w:ind w:firstLine="480" w:firstLineChars="200"/>
        <w:rPr>
          <w:rFonts w:cs="Times New Roman"/>
          <w:sz w:val="24"/>
          <w:szCs w:val="24"/>
        </w:rPr>
      </w:pPr>
      <w:r>
        <w:rPr>
          <w:rFonts w:hint="eastAsia" w:cs="Times New Roman"/>
          <w:sz w:val="24"/>
          <w:szCs w:val="24"/>
        </w:rPr>
        <w:t>附图8本项目与环境保护目标位置关系及监测点位示意图</w:t>
      </w:r>
    </w:p>
    <w:p>
      <w:pPr>
        <w:spacing w:line="360" w:lineRule="auto"/>
        <w:ind w:firstLine="480" w:firstLineChars="200"/>
        <w:rPr>
          <w:rFonts w:cs="Times New Roman"/>
          <w:sz w:val="24"/>
          <w:szCs w:val="24"/>
        </w:rPr>
      </w:pPr>
      <w:r>
        <w:rPr>
          <w:rFonts w:hint="eastAsia" w:cs="Times New Roman"/>
          <w:sz w:val="24"/>
          <w:szCs w:val="24"/>
        </w:rPr>
        <w:t>附图</w:t>
      </w:r>
      <w:r>
        <w:rPr>
          <w:rFonts w:cs="Times New Roman"/>
          <w:sz w:val="24"/>
          <w:szCs w:val="24"/>
        </w:rPr>
        <w:t>9</w:t>
      </w:r>
      <w:r>
        <w:rPr>
          <w:rFonts w:hint="eastAsia" w:cs="Times New Roman"/>
          <w:sz w:val="24"/>
          <w:szCs w:val="24"/>
        </w:rPr>
        <w:t>本工程沿线土地利用现状图</w:t>
      </w:r>
    </w:p>
    <w:p>
      <w:pPr>
        <w:rPr>
          <w:rFonts w:cs="Times New Roman"/>
          <w:b/>
          <w:bCs/>
          <w:sz w:val="24"/>
          <w:szCs w:val="24"/>
        </w:rPr>
      </w:pPr>
      <w:r>
        <w:rPr>
          <w:rFonts w:cs="Times New Roman"/>
          <w:b/>
          <w:bCs/>
          <w:sz w:val="24"/>
          <w:szCs w:val="24"/>
        </w:rPr>
        <w:t>附件：</w:t>
      </w:r>
    </w:p>
    <w:p>
      <w:pPr>
        <w:spacing w:line="360" w:lineRule="auto"/>
        <w:ind w:firstLine="480" w:firstLineChars="200"/>
        <w:rPr>
          <w:rFonts w:cs="Times New Roman"/>
          <w:sz w:val="24"/>
          <w:szCs w:val="24"/>
        </w:rPr>
      </w:pPr>
      <w:r>
        <w:rPr>
          <w:rFonts w:cs="Times New Roman"/>
          <w:sz w:val="24"/>
          <w:szCs w:val="24"/>
        </w:rPr>
        <w:t xml:space="preserve">附件1  </w:t>
      </w:r>
      <w:r>
        <w:rPr>
          <w:rFonts w:hint="eastAsia" w:cs="Times New Roman"/>
          <w:sz w:val="24"/>
          <w:szCs w:val="24"/>
        </w:rPr>
        <w:t>机场高铁项目初设批复文件 浙发改项字〔2022〕384 号</w:t>
      </w:r>
    </w:p>
    <w:p>
      <w:pPr>
        <w:spacing w:line="360" w:lineRule="auto"/>
        <w:ind w:firstLine="480" w:firstLineChars="200"/>
        <w:rPr>
          <w:rFonts w:cs="Times New Roman"/>
          <w:sz w:val="24"/>
          <w:szCs w:val="24"/>
        </w:rPr>
      </w:pPr>
      <w:r>
        <w:rPr>
          <w:rFonts w:cs="Times New Roman"/>
          <w:sz w:val="24"/>
          <w:szCs w:val="24"/>
        </w:rPr>
        <w:t xml:space="preserve">附件2  </w:t>
      </w:r>
      <w:r>
        <w:rPr>
          <w:rFonts w:hint="eastAsia" w:cs="Times New Roman"/>
          <w:sz w:val="24"/>
          <w:szCs w:val="24"/>
        </w:rPr>
        <w:t>海宁市政府关于对杭州机场高铁工程涉及1</w:t>
      </w:r>
      <w:r>
        <w:rPr>
          <w:rFonts w:cs="Times New Roman"/>
          <w:sz w:val="24"/>
          <w:szCs w:val="24"/>
        </w:rPr>
        <w:t>10</w:t>
      </w:r>
      <w:r>
        <w:rPr>
          <w:rFonts w:hint="eastAsia" w:cs="Times New Roman"/>
          <w:sz w:val="24"/>
          <w:szCs w:val="24"/>
        </w:rPr>
        <w:t>千伏及以上输电线路进行迁改等有限事宜的函</w:t>
      </w:r>
    </w:p>
    <w:p>
      <w:pPr>
        <w:spacing w:line="360" w:lineRule="auto"/>
        <w:ind w:firstLine="480" w:firstLineChars="200"/>
        <w:rPr>
          <w:rFonts w:cs="Times New Roman"/>
          <w:sz w:val="24"/>
          <w:szCs w:val="24"/>
        </w:rPr>
      </w:pPr>
      <w:r>
        <w:rPr>
          <w:rFonts w:cs="Times New Roman"/>
          <w:sz w:val="24"/>
          <w:szCs w:val="24"/>
        </w:rPr>
        <w:t>附件</w:t>
      </w:r>
      <w:r>
        <w:rPr>
          <w:rFonts w:hint="eastAsia" w:cs="Times New Roman"/>
          <w:sz w:val="24"/>
          <w:szCs w:val="24"/>
        </w:rPr>
        <w:t>3</w:t>
      </w:r>
      <w:r>
        <w:rPr>
          <w:rFonts w:cs="Times New Roman"/>
          <w:sz w:val="24"/>
          <w:szCs w:val="24"/>
        </w:rPr>
        <w:t xml:space="preserve">  </w:t>
      </w:r>
      <w:r>
        <w:rPr>
          <w:rFonts w:hint="eastAsia" w:cs="Times New Roman"/>
          <w:sz w:val="24"/>
          <w:szCs w:val="24"/>
        </w:rPr>
        <w:t>市政改签工程会签单</w:t>
      </w:r>
    </w:p>
    <w:p>
      <w:pPr>
        <w:spacing w:line="360" w:lineRule="auto"/>
        <w:ind w:firstLine="480" w:firstLineChars="200"/>
        <w:rPr>
          <w:rFonts w:cs="Times New Roman"/>
          <w:sz w:val="24"/>
          <w:szCs w:val="24"/>
        </w:rPr>
      </w:pPr>
      <w:r>
        <w:rPr>
          <w:rFonts w:cs="Times New Roman"/>
          <w:sz w:val="24"/>
          <w:szCs w:val="24"/>
        </w:rPr>
        <w:t>附件4  检测报告</w:t>
      </w:r>
    </w:p>
    <w:p>
      <w:pPr>
        <w:spacing w:line="360" w:lineRule="auto"/>
        <w:ind w:firstLine="480" w:firstLineChars="200"/>
        <w:rPr>
          <w:rFonts w:cs="Times New Roman"/>
          <w:sz w:val="24"/>
          <w:szCs w:val="24"/>
        </w:rPr>
      </w:pPr>
      <w:bookmarkStart w:id="1" w:name="_Hlk142399523"/>
      <w:r>
        <w:rPr>
          <w:rFonts w:hint="eastAsia" w:cs="Times New Roman"/>
          <w:sz w:val="24"/>
          <w:szCs w:val="24"/>
        </w:rPr>
        <w:t>附件</w:t>
      </w:r>
      <w:r>
        <w:rPr>
          <w:rFonts w:cs="Times New Roman"/>
          <w:sz w:val="24"/>
          <w:szCs w:val="24"/>
        </w:rPr>
        <w:t xml:space="preserve">5  </w:t>
      </w:r>
      <w:r>
        <w:rPr>
          <w:rFonts w:hint="eastAsia" w:cs="Times New Roman"/>
          <w:sz w:val="24"/>
          <w:szCs w:val="24"/>
        </w:rPr>
        <w:t>工程路径符合规划的说明</w:t>
      </w:r>
    </w:p>
    <w:p>
      <w:pPr>
        <w:spacing w:line="360" w:lineRule="auto"/>
        <w:ind w:firstLine="480" w:firstLineChars="200"/>
        <w:rPr>
          <w:rFonts w:cs="Times New Roman"/>
          <w:sz w:val="24"/>
          <w:szCs w:val="24"/>
        </w:rPr>
      </w:pPr>
      <w:bookmarkStart w:id="2" w:name="_Hlk142400941"/>
      <w:r>
        <w:rPr>
          <w:rFonts w:hint="eastAsia" w:cs="Times New Roman"/>
          <w:sz w:val="24"/>
          <w:szCs w:val="24"/>
        </w:rPr>
        <w:t>附件</w:t>
      </w:r>
      <w:r>
        <w:rPr>
          <w:rFonts w:cs="Times New Roman"/>
          <w:sz w:val="24"/>
          <w:szCs w:val="24"/>
        </w:rPr>
        <w:t xml:space="preserve">6  </w:t>
      </w:r>
      <w:r>
        <w:rPr>
          <w:rFonts w:hint="eastAsia" w:cs="Times New Roman"/>
          <w:sz w:val="24"/>
          <w:szCs w:val="24"/>
        </w:rPr>
        <w:t>杭州机场高铁工程征地拆迁包干协议（海宁段）</w:t>
      </w:r>
    </w:p>
    <w:p>
      <w:pPr>
        <w:spacing w:line="360" w:lineRule="auto"/>
        <w:ind w:firstLine="480" w:firstLineChars="200"/>
        <w:rPr>
          <w:rFonts w:cs="Times New Roman"/>
          <w:sz w:val="24"/>
          <w:szCs w:val="24"/>
        </w:rPr>
      </w:pPr>
      <w:r>
        <w:rPr>
          <w:rFonts w:hint="eastAsia" w:cs="Times New Roman"/>
          <w:sz w:val="24"/>
          <w:szCs w:val="24"/>
        </w:rPr>
        <w:t>附件</w:t>
      </w:r>
      <w:r>
        <w:rPr>
          <w:rFonts w:cs="Times New Roman"/>
          <w:sz w:val="24"/>
          <w:szCs w:val="24"/>
        </w:rPr>
        <w:t xml:space="preserve">7  </w:t>
      </w:r>
      <w:r>
        <w:rPr>
          <w:rFonts w:hint="eastAsia" w:cs="Times New Roman"/>
          <w:sz w:val="24"/>
          <w:szCs w:val="24"/>
        </w:rPr>
        <w:t>专家函审意见</w:t>
      </w:r>
    </w:p>
    <w:p>
      <w:pPr>
        <w:spacing w:line="360" w:lineRule="auto"/>
        <w:ind w:firstLine="480" w:firstLineChars="200"/>
      </w:pPr>
      <w:r>
        <w:rPr>
          <w:rFonts w:hint="eastAsia" w:cs="Times New Roman"/>
          <w:sz w:val="24"/>
          <w:szCs w:val="24"/>
        </w:rPr>
        <w:t>附件</w:t>
      </w:r>
      <w:r>
        <w:rPr>
          <w:rFonts w:cs="Times New Roman"/>
          <w:sz w:val="24"/>
          <w:szCs w:val="24"/>
        </w:rPr>
        <w:t xml:space="preserve">8  </w:t>
      </w:r>
      <w:r>
        <w:rPr>
          <w:rFonts w:hint="eastAsia" w:cs="Times New Roman"/>
          <w:sz w:val="24"/>
          <w:szCs w:val="24"/>
        </w:rPr>
        <w:t>专家函审意见对照修改清单</w:t>
      </w:r>
      <w:bookmarkEnd w:id="1"/>
      <w:bookmarkEnd w:id="2"/>
    </w:p>
    <w:p>
      <w:pPr>
        <w:pStyle w:val="2"/>
        <w:ind w:firstLine="480" w:firstLineChars="200"/>
        <w:rPr>
          <w:rFonts w:cs="Times New Roman"/>
          <w:sz w:val="24"/>
          <w:szCs w:val="24"/>
        </w:rPr>
        <w:sectPr>
          <w:pgSz w:w="11906" w:h="16838"/>
          <w:pgMar w:top="1418" w:right="1418" w:bottom="1418" w:left="1418" w:header="851" w:footer="992" w:gutter="0"/>
          <w:cols w:space="425" w:num="1"/>
          <w:docGrid w:type="lines" w:linePitch="312" w:charSpace="0"/>
        </w:sectPr>
      </w:pPr>
    </w:p>
    <w:p>
      <w:pPr>
        <w:pStyle w:val="3"/>
        <w:rPr>
          <w:color w:val="auto"/>
        </w:rPr>
      </w:pPr>
      <w:bookmarkStart w:id="3" w:name="_Toc103786366"/>
      <w:bookmarkStart w:id="4" w:name="_Toc69466518"/>
      <w:r>
        <w:rPr>
          <w:color w:val="auto"/>
        </w:rPr>
        <w:t>一、建设项目基本情况</w:t>
      </w:r>
      <w:bookmarkEnd w:id="3"/>
      <w:bookmarkEnd w:id="4"/>
    </w:p>
    <w:tbl>
      <w:tblPr>
        <w:tblStyle w:val="25"/>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58"/>
        <w:gridCol w:w="3411"/>
        <w:gridCol w:w="2118"/>
        <w:gridCol w:w="10"/>
        <w:gridCol w:w="25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5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建设项目名称</w:t>
            </w:r>
          </w:p>
        </w:tc>
        <w:tc>
          <w:tcPr>
            <w:tcW w:w="8081" w:type="dxa"/>
            <w:gridSpan w:val="4"/>
            <w:vAlign w:val="center"/>
          </w:tcPr>
          <w:p>
            <w:pPr>
              <w:adjustRightInd w:val="0"/>
              <w:snapToGrid w:val="0"/>
              <w:jc w:val="center"/>
              <w:rPr>
                <w:rFonts w:cs="Times New Roman"/>
                <w:szCs w:val="21"/>
              </w:rPr>
            </w:pPr>
            <w:r>
              <w:rPr>
                <w:rFonts w:hint="eastAsia" w:cs="Times New Roman"/>
                <w:szCs w:val="21"/>
              </w:rPr>
              <w:t>杭州机场高铁工程涉及输电线路改迁工程110kV民盐1292线20#-22#改迁工程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58" w:type="dxa"/>
            <w:tcMar>
              <w:top w:w="16" w:type="dxa"/>
              <w:left w:w="16" w:type="dxa"/>
              <w:right w:w="16" w:type="dxa"/>
            </w:tcMar>
            <w:vAlign w:val="center"/>
          </w:tcPr>
          <w:p>
            <w:pPr>
              <w:adjustRightInd w:val="0"/>
              <w:snapToGrid w:val="0"/>
              <w:jc w:val="center"/>
              <w:rPr>
                <w:rFonts w:cs="Times New Roman"/>
                <w:szCs w:val="21"/>
                <w:highlight w:val="yellow"/>
              </w:rPr>
            </w:pPr>
            <w:r>
              <w:rPr>
                <w:rFonts w:hint="eastAsia" w:cs="Times New Roman"/>
                <w:szCs w:val="21"/>
              </w:rPr>
              <w:t>项目代码</w:t>
            </w:r>
          </w:p>
        </w:tc>
        <w:tc>
          <w:tcPr>
            <w:tcW w:w="8081" w:type="dxa"/>
            <w:gridSpan w:val="4"/>
            <w:vAlign w:val="center"/>
          </w:tcPr>
          <w:p>
            <w:pPr>
              <w:adjustRightInd w:val="0"/>
              <w:snapToGrid w:val="0"/>
              <w:jc w:val="center"/>
              <w:rPr>
                <w:rFonts w:cs="Times New Roman"/>
                <w:szCs w:val="21"/>
                <w:highlight w:val="yellow"/>
              </w:rPr>
            </w:pPr>
            <w:r>
              <w:rPr>
                <w:rFonts w:hint="eastAsia" w:cs="Times New Roman"/>
                <w:szCs w:val="21"/>
              </w:rPr>
              <w:t>主项目代码：</w:t>
            </w:r>
            <w:r>
              <w:rPr>
                <w:rFonts w:cs="Times New Roman"/>
                <w:szCs w:val="21"/>
              </w:rPr>
              <w:t>2018-330000-53-01-029162-000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5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建设单位联系人</w:t>
            </w:r>
          </w:p>
        </w:tc>
        <w:tc>
          <w:tcPr>
            <w:tcW w:w="3411" w:type="dxa"/>
            <w:vAlign w:val="center"/>
          </w:tcPr>
          <w:p>
            <w:pPr>
              <w:adjustRightInd w:val="0"/>
              <w:snapToGrid w:val="0"/>
              <w:jc w:val="center"/>
              <w:rPr>
                <w:rFonts w:hint="eastAsia" w:eastAsia="宋体" w:cs="Times New Roman"/>
                <w:szCs w:val="21"/>
                <w:lang w:eastAsia="zh-CN"/>
              </w:rPr>
            </w:pPr>
            <w:r>
              <w:rPr>
                <w:rFonts w:hint="eastAsia" w:cs="Times New Roman"/>
                <w:szCs w:val="21"/>
                <w:lang w:val="en-US" w:eastAsia="zh-CN"/>
              </w:rPr>
              <w:t>/</w:t>
            </w:r>
          </w:p>
        </w:tc>
        <w:tc>
          <w:tcPr>
            <w:tcW w:w="2128" w:type="dxa"/>
            <w:gridSpan w:val="2"/>
            <w:vAlign w:val="center"/>
          </w:tcPr>
          <w:p>
            <w:pPr>
              <w:adjustRightInd w:val="0"/>
              <w:snapToGrid w:val="0"/>
              <w:jc w:val="center"/>
              <w:rPr>
                <w:rFonts w:cs="Times New Roman"/>
                <w:szCs w:val="21"/>
              </w:rPr>
            </w:pPr>
            <w:r>
              <w:rPr>
                <w:rFonts w:cs="Times New Roman"/>
                <w:szCs w:val="21"/>
              </w:rPr>
              <w:t>联系方式</w:t>
            </w:r>
          </w:p>
        </w:tc>
        <w:tc>
          <w:tcPr>
            <w:tcW w:w="2542" w:type="dxa"/>
            <w:vAlign w:val="center"/>
          </w:tcPr>
          <w:p>
            <w:pPr>
              <w:adjustRightInd w:val="0"/>
              <w:snapToGrid w:val="0"/>
              <w:jc w:val="center"/>
              <w:rPr>
                <w:rFonts w:hint="eastAsia" w:eastAsia="宋体" w:cs="Times New Roman"/>
                <w:szCs w:val="21"/>
                <w:lang w:eastAsia="zh-CN"/>
              </w:rPr>
            </w:pPr>
            <w:r>
              <w:rPr>
                <w:rFonts w:hint="eastAsia" w:cs="Times New Roman"/>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5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建设地点</w:t>
            </w:r>
          </w:p>
        </w:tc>
        <w:tc>
          <w:tcPr>
            <w:tcW w:w="8081" w:type="dxa"/>
            <w:gridSpan w:val="4"/>
            <w:vAlign w:val="center"/>
          </w:tcPr>
          <w:p>
            <w:pPr>
              <w:adjustRightInd w:val="0"/>
              <w:snapToGrid w:val="0"/>
              <w:jc w:val="center"/>
              <w:rPr>
                <w:rFonts w:cs="Times New Roman"/>
                <w:szCs w:val="21"/>
              </w:rPr>
            </w:pPr>
            <w:r>
              <w:rPr>
                <w:rFonts w:cs="Times New Roman"/>
                <w:szCs w:val="21"/>
              </w:rPr>
              <w:t>浙江省</w:t>
            </w:r>
            <w:r>
              <w:rPr>
                <w:rFonts w:hint="eastAsia" w:cs="Times New Roman"/>
                <w:szCs w:val="21"/>
              </w:rPr>
              <w:t>海宁市周王庙镇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13" w:hRule="atLeast"/>
        </w:trPr>
        <w:tc>
          <w:tcPr>
            <w:tcW w:w="958" w:type="dxa"/>
            <w:tcMar>
              <w:top w:w="16" w:type="dxa"/>
              <w:left w:w="16" w:type="dxa"/>
              <w:right w:w="16" w:type="dxa"/>
            </w:tcMar>
            <w:vAlign w:val="center"/>
          </w:tcPr>
          <w:p>
            <w:pPr>
              <w:rPr>
                <w:rFonts w:cs="Times New Roman"/>
              </w:rPr>
            </w:pPr>
            <w:r>
              <w:rPr>
                <w:rFonts w:cs="Times New Roman"/>
                <w:szCs w:val="21"/>
              </w:rPr>
              <w:t>地理坐标</w:t>
            </w:r>
          </w:p>
        </w:tc>
        <w:tc>
          <w:tcPr>
            <w:tcW w:w="3411" w:type="dxa"/>
            <w:vAlign w:val="center"/>
          </w:tcPr>
          <w:p>
            <w:pPr>
              <w:jc w:val="center"/>
              <w:rPr>
                <w:rFonts w:cs="Times New Roman"/>
                <w:szCs w:val="21"/>
              </w:rPr>
            </w:pPr>
            <w:r>
              <w:rPr>
                <w:rFonts w:hint="eastAsia" w:cs="Times New Roman"/>
                <w:szCs w:val="21"/>
              </w:rPr>
              <w:t>本项目拟建110kV输电线路</w:t>
            </w:r>
          </w:p>
        </w:tc>
        <w:tc>
          <w:tcPr>
            <w:tcW w:w="4670" w:type="dxa"/>
            <w:gridSpan w:val="3"/>
            <w:vAlign w:val="center"/>
          </w:tcPr>
          <w:p>
            <w:pPr>
              <w:rPr>
                <w:rFonts w:cs="Times New Roman"/>
                <w:szCs w:val="21"/>
              </w:rPr>
            </w:pPr>
            <w:r>
              <w:rPr>
                <w:rFonts w:cs="Times New Roman"/>
                <w:szCs w:val="21"/>
              </w:rPr>
              <w:t>起点坐标（E：</w:t>
            </w:r>
            <w:r>
              <w:rPr>
                <w:rFonts w:hint="eastAsia" w:cs="Times New Roman"/>
                <w:szCs w:val="21"/>
              </w:rPr>
              <w:t>120°30′36.27</w:t>
            </w:r>
            <w:r>
              <w:rPr>
                <w:rFonts w:cs="Times New Roman"/>
                <w:szCs w:val="21"/>
              </w:rPr>
              <w:t>0</w:t>
            </w:r>
            <w:r>
              <w:rPr>
                <w:rFonts w:hint="eastAsia" w:cs="Times New Roman"/>
                <w:szCs w:val="21"/>
              </w:rPr>
              <w:t>″</w:t>
            </w:r>
            <w:r>
              <w:rPr>
                <w:rFonts w:cs="Times New Roman"/>
                <w:szCs w:val="21"/>
              </w:rPr>
              <w:t>，N：</w:t>
            </w:r>
            <w:r>
              <w:rPr>
                <w:rFonts w:hint="eastAsia" w:cs="Times New Roman"/>
                <w:szCs w:val="21"/>
              </w:rPr>
              <w:t>30°25′28.80</w:t>
            </w:r>
            <w:r>
              <w:rPr>
                <w:rFonts w:cs="Times New Roman"/>
                <w:szCs w:val="21"/>
              </w:rPr>
              <w:t>0</w:t>
            </w:r>
            <w:r>
              <w:rPr>
                <w:rFonts w:hint="eastAsia" w:cs="Times New Roman"/>
                <w:szCs w:val="21"/>
              </w:rPr>
              <w:t>″</w:t>
            </w:r>
            <w:r>
              <w:rPr>
                <w:rFonts w:cs="Times New Roman"/>
                <w:szCs w:val="21"/>
              </w:rPr>
              <w:t>）</w:t>
            </w:r>
          </w:p>
          <w:p>
            <w:pPr>
              <w:rPr>
                <w:rFonts w:cs="Times New Roman"/>
                <w:szCs w:val="21"/>
              </w:rPr>
            </w:pPr>
            <w:r>
              <w:rPr>
                <w:rFonts w:cs="Times New Roman"/>
                <w:szCs w:val="21"/>
              </w:rPr>
              <w:t>终点坐标（E：</w:t>
            </w:r>
            <w:r>
              <w:rPr>
                <w:rFonts w:hint="eastAsia" w:cs="Times New Roman"/>
                <w:szCs w:val="21"/>
              </w:rPr>
              <w:t>120°30′57.16</w:t>
            </w:r>
            <w:r>
              <w:rPr>
                <w:rFonts w:cs="Times New Roman"/>
                <w:szCs w:val="21"/>
              </w:rPr>
              <w:t>0</w:t>
            </w:r>
            <w:r>
              <w:rPr>
                <w:rFonts w:hint="eastAsia" w:cs="Times New Roman"/>
                <w:szCs w:val="21"/>
              </w:rPr>
              <w:t>″</w:t>
            </w:r>
            <w:r>
              <w:rPr>
                <w:rFonts w:cs="Times New Roman"/>
                <w:szCs w:val="21"/>
              </w:rPr>
              <w:t>，N：</w:t>
            </w:r>
            <w:r>
              <w:rPr>
                <w:rFonts w:hint="eastAsia" w:cs="Times New Roman"/>
                <w:szCs w:val="21"/>
              </w:rPr>
              <w:t>30°25′14.60</w:t>
            </w:r>
            <w:r>
              <w:rPr>
                <w:rFonts w:cs="Times New Roman"/>
                <w:szCs w:val="21"/>
              </w:rPr>
              <w:t>0</w:t>
            </w:r>
            <w:r>
              <w:rPr>
                <w:rFonts w:hint="eastAsia" w:cs="Times New Roman"/>
                <w:szCs w:val="21"/>
              </w:rPr>
              <w:t>″</w:t>
            </w:r>
            <w:r>
              <w:rPr>
                <w:rFonts w:cs="Times New Roman"/>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95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建设项目</w:t>
            </w:r>
          </w:p>
          <w:p>
            <w:pPr>
              <w:adjustRightInd w:val="0"/>
              <w:snapToGrid w:val="0"/>
              <w:jc w:val="center"/>
              <w:rPr>
                <w:rFonts w:cs="Times New Roman"/>
                <w:szCs w:val="21"/>
              </w:rPr>
            </w:pPr>
            <w:r>
              <w:rPr>
                <w:rFonts w:cs="Times New Roman"/>
                <w:szCs w:val="21"/>
              </w:rPr>
              <w:t>行业类别</w:t>
            </w:r>
          </w:p>
        </w:tc>
        <w:tc>
          <w:tcPr>
            <w:tcW w:w="3411" w:type="dxa"/>
            <w:vAlign w:val="center"/>
          </w:tcPr>
          <w:p>
            <w:pPr>
              <w:jc w:val="center"/>
              <w:rPr>
                <w:rFonts w:cs="Times New Roman"/>
                <w:szCs w:val="21"/>
              </w:rPr>
            </w:pPr>
            <w:r>
              <w:rPr>
                <w:rFonts w:cs="Times New Roman"/>
                <w:szCs w:val="21"/>
              </w:rPr>
              <w:t>161输变电工程</w:t>
            </w:r>
          </w:p>
        </w:tc>
        <w:tc>
          <w:tcPr>
            <w:tcW w:w="2118" w:type="dxa"/>
            <w:vAlign w:val="center"/>
          </w:tcPr>
          <w:p>
            <w:pPr>
              <w:adjustRightInd w:val="0"/>
              <w:snapToGrid w:val="0"/>
              <w:jc w:val="center"/>
              <w:rPr>
                <w:rFonts w:cs="Times New Roman"/>
                <w:szCs w:val="21"/>
              </w:rPr>
            </w:pPr>
            <w:r>
              <w:rPr>
                <w:rFonts w:cs="Times New Roman"/>
                <w:szCs w:val="21"/>
              </w:rPr>
              <w:t>用地面积（m</w:t>
            </w:r>
            <w:r>
              <w:rPr>
                <w:rFonts w:cs="Times New Roman"/>
                <w:szCs w:val="21"/>
                <w:vertAlign w:val="superscript"/>
              </w:rPr>
              <w:t>2</w:t>
            </w:r>
            <w:r>
              <w:rPr>
                <w:rFonts w:cs="Times New Roman"/>
                <w:szCs w:val="21"/>
              </w:rPr>
              <w:t>）/长度（km）</w:t>
            </w:r>
          </w:p>
        </w:tc>
        <w:tc>
          <w:tcPr>
            <w:tcW w:w="2552" w:type="dxa"/>
            <w:gridSpan w:val="2"/>
            <w:vAlign w:val="center"/>
          </w:tcPr>
          <w:p>
            <w:pPr>
              <w:adjustRightInd w:val="0"/>
              <w:snapToGrid w:val="0"/>
              <w:jc w:val="center"/>
              <w:rPr>
                <w:rFonts w:cs="Times New Roman"/>
                <w:szCs w:val="21"/>
              </w:rPr>
            </w:pPr>
            <w:r>
              <w:rPr>
                <w:rFonts w:hint="eastAsia" w:cs="Times New Roman"/>
                <w:szCs w:val="21"/>
              </w:rPr>
              <w:t>永久占地1</w:t>
            </w:r>
            <w:r>
              <w:rPr>
                <w:rFonts w:cs="Times New Roman"/>
                <w:szCs w:val="21"/>
              </w:rPr>
              <w:t>00</w:t>
            </w:r>
            <w:r>
              <w:rPr>
                <w:rFonts w:hint="eastAsia" w:cs="Times New Roman"/>
                <w:szCs w:val="21"/>
              </w:rPr>
              <w:t>㎡，临时占地</w:t>
            </w:r>
            <w:r>
              <w:rPr>
                <w:rFonts w:cs="Times New Roman"/>
                <w:szCs w:val="21"/>
              </w:rPr>
              <w:t>300</w:t>
            </w:r>
            <w:r>
              <w:rPr>
                <w:rFonts w:hint="eastAsia" w:cs="Times New Roman"/>
                <w:szCs w:val="21"/>
              </w:rPr>
              <w:t>㎡</w:t>
            </w:r>
          </w:p>
          <w:p>
            <w:pPr>
              <w:adjustRightInd w:val="0"/>
              <w:snapToGrid w:val="0"/>
              <w:jc w:val="center"/>
              <w:rPr>
                <w:rFonts w:cs="Times New Roman"/>
                <w:szCs w:val="21"/>
              </w:rPr>
            </w:pPr>
            <w:r>
              <w:rPr>
                <w:rFonts w:hint="eastAsia" w:cs="Times New Roman"/>
                <w:szCs w:val="21"/>
              </w:rPr>
              <w:t>新建1</w:t>
            </w:r>
            <w:r>
              <w:rPr>
                <w:rFonts w:cs="Times New Roman"/>
                <w:szCs w:val="21"/>
              </w:rPr>
              <w:t>10</w:t>
            </w:r>
            <w:r>
              <w:rPr>
                <w:rFonts w:hint="eastAsia" w:cs="Times New Roman"/>
                <w:szCs w:val="21"/>
              </w:rPr>
              <w:t>双回架空线路0</w:t>
            </w:r>
            <w:r>
              <w:rPr>
                <w:rFonts w:cs="Times New Roman"/>
                <w:szCs w:val="21"/>
              </w:rPr>
              <w:t>.7</w:t>
            </w:r>
            <w:r>
              <w:rPr>
                <w:rFonts w:hint="eastAsia" w:cs="Times New Roman"/>
                <w:szCs w:val="21"/>
              </w:rPr>
              <w:t>km，新建1</w:t>
            </w:r>
            <w:r>
              <w:rPr>
                <w:rFonts w:cs="Times New Roman"/>
                <w:szCs w:val="21"/>
              </w:rPr>
              <w:t>10</w:t>
            </w:r>
            <w:r>
              <w:rPr>
                <w:rFonts w:hint="eastAsia" w:cs="Times New Roman"/>
                <w:szCs w:val="21"/>
              </w:rPr>
              <w:t>单回架空线路0</w:t>
            </w:r>
            <w:r>
              <w:rPr>
                <w:rFonts w:cs="Times New Roman"/>
                <w:szCs w:val="21"/>
              </w:rPr>
              <w:t>.12</w:t>
            </w:r>
            <w:r>
              <w:rPr>
                <w:rFonts w:hint="eastAsia" w:cs="Times New Roman"/>
                <w:szCs w:val="21"/>
              </w:rPr>
              <w:t>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95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建设性质</w:t>
            </w:r>
          </w:p>
        </w:tc>
        <w:tc>
          <w:tcPr>
            <w:tcW w:w="3411" w:type="dxa"/>
            <w:vAlign w:val="center"/>
          </w:tcPr>
          <w:p>
            <w:pPr>
              <w:adjustRightInd w:val="0"/>
              <w:snapToGrid w:val="0"/>
              <w:rPr>
                <w:rFonts w:cs="Times New Roman"/>
                <w:szCs w:val="21"/>
              </w:rPr>
            </w:pPr>
            <w:r>
              <w:rPr>
                <w:rFonts w:cs="Times New Roman"/>
                <w:szCs w:val="21"/>
              </w:rPr>
              <w:t>□新建（迁建）</w:t>
            </w:r>
          </w:p>
          <w:p>
            <w:pPr>
              <w:adjustRightInd w:val="0"/>
              <w:snapToGrid w:val="0"/>
              <w:rPr>
                <w:rFonts w:cs="Times New Roman"/>
                <w:szCs w:val="21"/>
              </w:rPr>
            </w:pPr>
            <w:r>
              <w:rPr>
                <w:rFonts w:cs="Times New Roman"/>
                <w:szCs w:val="21"/>
              </w:rPr>
              <w:t>■改建</w:t>
            </w:r>
          </w:p>
          <w:p>
            <w:pPr>
              <w:adjustRightInd w:val="0"/>
              <w:snapToGrid w:val="0"/>
              <w:rPr>
                <w:rFonts w:cs="Times New Roman"/>
                <w:szCs w:val="21"/>
              </w:rPr>
            </w:pPr>
            <w:r>
              <w:rPr>
                <w:rFonts w:cs="Times New Roman"/>
                <w:szCs w:val="21"/>
              </w:rPr>
              <w:t>□扩建</w:t>
            </w:r>
          </w:p>
          <w:p>
            <w:pPr>
              <w:adjustRightInd w:val="0"/>
              <w:snapToGrid w:val="0"/>
              <w:rPr>
                <w:rFonts w:cs="Times New Roman"/>
                <w:szCs w:val="21"/>
              </w:rPr>
            </w:pPr>
            <w:r>
              <w:rPr>
                <w:rFonts w:cs="Times New Roman"/>
                <w:szCs w:val="21"/>
              </w:rPr>
              <w:t>□技术改造</w:t>
            </w:r>
          </w:p>
        </w:tc>
        <w:tc>
          <w:tcPr>
            <w:tcW w:w="2118" w:type="dxa"/>
            <w:vAlign w:val="center"/>
          </w:tcPr>
          <w:p>
            <w:pPr>
              <w:adjustRightInd w:val="0"/>
              <w:snapToGrid w:val="0"/>
              <w:jc w:val="center"/>
              <w:rPr>
                <w:rFonts w:cs="Times New Roman"/>
                <w:szCs w:val="21"/>
              </w:rPr>
            </w:pPr>
            <w:r>
              <w:rPr>
                <w:rFonts w:cs="Times New Roman"/>
                <w:szCs w:val="21"/>
              </w:rPr>
              <w:t>建设项目</w:t>
            </w:r>
          </w:p>
          <w:p>
            <w:pPr>
              <w:adjustRightInd w:val="0"/>
              <w:snapToGrid w:val="0"/>
              <w:jc w:val="center"/>
              <w:rPr>
                <w:rFonts w:cs="Times New Roman"/>
                <w:szCs w:val="21"/>
              </w:rPr>
            </w:pPr>
            <w:r>
              <w:rPr>
                <w:rFonts w:cs="Times New Roman"/>
                <w:szCs w:val="21"/>
              </w:rPr>
              <w:t>申报情形</w:t>
            </w:r>
          </w:p>
        </w:tc>
        <w:tc>
          <w:tcPr>
            <w:tcW w:w="2552" w:type="dxa"/>
            <w:gridSpan w:val="2"/>
            <w:vAlign w:val="center"/>
          </w:tcPr>
          <w:p>
            <w:pPr>
              <w:adjustRightInd w:val="0"/>
              <w:snapToGrid w:val="0"/>
              <w:rPr>
                <w:rFonts w:cs="Times New Roman"/>
                <w:szCs w:val="21"/>
              </w:rPr>
            </w:pPr>
            <w:r>
              <w:rPr>
                <w:rFonts w:cs="Times New Roman"/>
                <w:szCs w:val="21"/>
              </w:rPr>
              <w:t>■首次申报项目</w:t>
            </w:r>
          </w:p>
          <w:p>
            <w:pPr>
              <w:adjustRightInd w:val="0"/>
              <w:snapToGrid w:val="0"/>
              <w:rPr>
                <w:rFonts w:cs="Times New Roman"/>
                <w:szCs w:val="21"/>
              </w:rPr>
            </w:pPr>
            <w:r>
              <w:rPr>
                <w:rFonts w:cs="Times New Roman"/>
                <w:szCs w:val="21"/>
              </w:rPr>
              <w:t>□不予批准后再次申报项目</w:t>
            </w:r>
          </w:p>
          <w:p>
            <w:pPr>
              <w:adjustRightInd w:val="0"/>
              <w:snapToGrid w:val="0"/>
              <w:rPr>
                <w:rFonts w:cs="Times New Roman"/>
                <w:szCs w:val="21"/>
              </w:rPr>
            </w:pPr>
            <w:r>
              <w:rPr>
                <w:rFonts w:cs="Times New Roman"/>
                <w:szCs w:val="21"/>
              </w:rPr>
              <w:t>□超五年重新审核项目</w:t>
            </w:r>
          </w:p>
          <w:p>
            <w:pPr>
              <w:adjustRightInd w:val="0"/>
              <w:snapToGrid w:val="0"/>
              <w:rPr>
                <w:rFonts w:cs="Times New Roman"/>
                <w:szCs w:val="21"/>
              </w:rPr>
            </w:pPr>
            <w:r>
              <w:rPr>
                <w:rFonts w:cs="Times New Roman"/>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7" w:hRule="atLeast"/>
        </w:trPr>
        <w:tc>
          <w:tcPr>
            <w:tcW w:w="95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项目审批（核准/</w:t>
            </w:r>
          </w:p>
          <w:p>
            <w:pPr>
              <w:adjustRightInd w:val="0"/>
              <w:snapToGrid w:val="0"/>
              <w:jc w:val="center"/>
              <w:rPr>
                <w:rFonts w:cs="Times New Roman"/>
                <w:szCs w:val="21"/>
              </w:rPr>
            </w:pPr>
            <w:r>
              <w:rPr>
                <w:rFonts w:cs="Times New Roman"/>
                <w:szCs w:val="21"/>
              </w:rPr>
              <w:t>备案）部门（选填）</w:t>
            </w:r>
          </w:p>
        </w:tc>
        <w:tc>
          <w:tcPr>
            <w:tcW w:w="3411" w:type="dxa"/>
            <w:vAlign w:val="center"/>
          </w:tcPr>
          <w:p>
            <w:pPr>
              <w:adjustRightInd w:val="0"/>
              <w:snapToGrid w:val="0"/>
              <w:jc w:val="center"/>
              <w:rPr>
                <w:rFonts w:cs="Times New Roman"/>
                <w:szCs w:val="21"/>
              </w:rPr>
            </w:pPr>
            <w:r>
              <w:rPr>
                <w:rFonts w:hint="eastAsia" w:cs="Times New Roman"/>
                <w:szCs w:val="21"/>
              </w:rPr>
              <w:t>浙江省</w:t>
            </w:r>
            <w:r>
              <w:rPr>
                <w:rFonts w:cs="Times New Roman"/>
                <w:szCs w:val="21"/>
              </w:rPr>
              <w:t>发展和改革委员会</w:t>
            </w:r>
          </w:p>
        </w:tc>
        <w:tc>
          <w:tcPr>
            <w:tcW w:w="2118" w:type="dxa"/>
            <w:vAlign w:val="center"/>
          </w:tcPr>
          <w:p>
            <w:pPr>
              <w:adjustRightInd w:val="0"/>
              <w:snapToGrid w:val="0"/>
              <w:jc w:val="center"/>
              <w:rPr>
                <w:rFonts w:cs="Times New Roman"/>
                <w:szCs w:val="21"/>
              </w:rPr>
            </w:pPr>
            <w:r>
              <w:rPr>
                <w:rFonts w:cs="Times New Roman"/>
                <w:szCs w:val="21"/>
              </w:rPr>
              <w:t>项目审批（核准/</w:t>
            </w:r>
          </w:p>
          <w:p>
            <w:pPr>
              <w:adjustRightInd w:val="0"/>
              <w:snapToGrid w:val="0"/>
              <w:jc w:val="center"/>
              <w:rPr>
                <w:rFonts w:cs="Times New Roman"/>
                <w:szCs w:val="21"/>
              </w:rPr>
            </w:pPr>
            <w:r>
              <w:rPr>
                <w:rFonts w:cs="Times New Roman"/>
                <w:szCs w:val="21"/>
              </w:rPr>
              <w:t>备案）文号（选填）</w:t>
            </w:r>
          </w:p>
        </w:tc>
        <w:tc>
          <w:tcPr>
            <w:tcW w:w="2552" w:type="dxa"/>
            <w:gridSpan w:val="2"/>
            <w:vAlign w:val="center"/>
          </w:tcPr>
          <w:p>
            <w:pPr>
              <w:adjustRightInd w:val="0"/>
              <w:snapToGrid w:val="0"/>
              <w:jc w:val="center"/>
              <w:rPr>
                <w:rFonts w:cs="Times New Roman"/>
                <w:szCs w:val="21"/>
              </w:rPr>
            </w:pPr>
            <w:r>
              <w:rPr>
                <w:rFonts w:hint="eastAsia" w:cs="Times New Roman"/>
                <w:szCs w:val="21"/>
              </w:rPr>
              <w:t>浙</w:t>
            </w:r>
            <w:r>
              <w:rPr>
                <w:rFonts w:cs="Times New Roman"/>
                <w:szCs w:val="21"/>
              </w:rPr>
              <w:t>发改</w:t>
            </w:r>
            <w:r>
              <w:rPr>
                <w:rFonts w:hint="eastAsia" w:cs="Times New Roman"/>
                <w:szCs w:val="21"/>
              </w:rPr>
              <w:t>项字</w:t>
            </w:r>
            <w:r>
              <w:rPr>
                <w:rFonts w:cs="Times New Roman"/>
                <w:szCs w:val="21"/>
              </w:rPr>
              <w:t>〔2022〕384号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5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总投资（万元）</w:t>
            </w:r>
          </w:p>
        </w:tc>
        <w:tc>
          <w:tcPr>
            <w:tcW w:w="3411" w:type="dxa"/>
            <w:vAlign w:val="center"/>
          </w:tcPr>
          <w:p>
            <w:pPr>
              <w:adjustRightInd w:val="0"/>
              <w:snapToGrid w:val="0"/>
              <w:jc w:val="center"/>
              <w:rPr>
                <w:rFonts w:cs="Times New Roman"/>
                <w:szCs w:val="21"/>
              </w:rPr>
            </w:pPr>
            <w:r>
              <w:rPr>
                <w:rFonts w:cs="Times New Roman"/>
                <w:szCs w:val="21"/>
              </w:rPr>
              <w:t>1263</w:t>
            </w:r>
          </w:p>
        </w:tc>
        <w:tc>
          <w:tcPr>
            <w:tcW w:w="211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环保投资（万元）</w:t>
            </w:r>
          </w:p>
        </w:tc>
        <w:tc>
          <w:tcPr>
            <w:tcW w:w="2552" w:type="dxa"/>
            <w:gridSpan w:val="2"/>
            <w:vAlign w:val="center"/>
          </w:tcPr>
          <w:p>
            <w:pPr>
              <w:adjustRightInd w:val="0"/>
              <w:snapToGrid w:val="0"/>
              <w:jc w:val="center"/>
              <w:rPr>
                <w:rFonts w:cs="Times New Roman"/>
                <w:szCs w:val="21"/>
              </w:rPr>
            </w:pPr>
            <w:r>
              <w:rPr>
                <w:rFonts w:cs="Times New Roman"/>
                <w:szCs w:val="21"/>
              </w:rPr>
              <w:t>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95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环保投资占比（%）</w:t>
            </w:r>
          </w:p>
        </w:tc>
        <w:tc>
          <w:tcPr>
            <w:tcW w:w="3411" w:type="dxa"/>
            <w:vAlign w:val="center"/>
          </w:tcPr>
          <w:p>
            <w:pPr>
              <w:adjustRightInd w:val="0"/>
              <w:snapToGrid w:val="0"/>
              <w:jc w:val="center"/>
              <w:rPr>
                <w:rFonts w:cs="Times New Roman"/>
                <w:szCs w:val="21"/>
              </w:rPr>
            </w:pPr>
            <w:r>
              <w:rPr>
                <w:rFonts w:cs="Times New Roman"/>
                <w:szCs w:val="21"/>
              </w:rPr>
              <w:t>2.38</w:t>
            </w:r>
          </w:p>
        </w:tc>
        <w:tc>
          <w:tcPr>
            <w:tcW w:w="211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施工工期</w:t>
            </w:r>
          </w:p>
        </w:tc>
        <w:tc>
          <w:tcPr>
            <w:tcW w:w="2552" w:type="dxa"/>
            <w:gridSpan w:val="2"/>
            <w:vAlign w:val="center"/>
          </w:tcPr>
          <w:p>
            <w:pPr>
              <w:adjustRightInd w:val="0"/>
              <w:snapToGrid w:val="0"/>
              <w:jc w:val="center"/>
              <w:rPr>
                <w:rFonts w:cs="Times New Roman"/>
                <w:szCs w:val="21"/>
              </w:rPr>
            </w:pPr>
            <w:r>
              <w:rPr>
                <w:rFonts w:cs="Times New Roman"/>
                <w:szCs w:val="21"/>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58" w:hRule="atLeast"/>
        </w:trPr>
        <w:tc>
          <w:tcPr>
            <w:tcW w:w="958" w:type="dxa"/>
            <w:tcMar>
              <w:top w:w="16" w:type="dxa"/>
              <w:left w:w="16" w:type="dxa"/>
              <w:right w:w="16" w:type="dxa"/>
            </w:tcMar>
            <w:vAlign w:val="center"/>
          </w:tcPr>
          <w:p>
            <w:pPr>
              <w:adjustRightInd w:val="0"/>
              <w:snapToGrid w:val="0"/>
              <w:jc w:val="center"/>
              <w:rPr>
                <w:rFonts w:cs="Times New Roman"/>
                <w:szCs w:val="21"/>
              </w:rPr>
            </w:pPr>
            <w:r>
              <w:rPr>
                <w:rFonts w:cs="Times New Roman"/>
                <w:szCs w:val="21"/>
              </w:rPr>
              <w:t>是否开工建设</w:t>
            </w:r>
          </w:p>
        </w:tc>
        <w:tc>
          <w:tcPr>
            <w:tcW w:w="8081" w:type="dxa"/>
            <w:gridSpan w:val="4"/>
            <w:vAlign w:val="center"/>
          </w:tcPr>
          <w:p>
            <w:pPr>
              <w:adjustRightInd w:val="0"/>
              <w:snapToGrid w:val="0"/>
              <w:ind w:firstLine="105"/>
              <w:rPr>
                <w:rFonts w:cs="Times New Roman"/>
                <w:szCs w:val="21"/>
              </w:rPr>
            </w:pPr>
            <w:r>
              <w:rPr>
                <w:rFonts w:cs="Times New Roman"/>
                <w:szCs w:val="21"/>
              </w:rPr>
              <w:t>■否</w:t>
            </w:r>
          </w:p>
          <w:p>
            <w:pPr>
              <w:adjustRightInd w:val="0"/>
              <w:snapToGrid w:val="0"/>
              <w:ind w:firstLine="92"/>
              <w:rPr>
                <w:rFonts w:cs="Times New Roman"/>
                <w:szCs w:val="21"/>
              </w:rPr>
            </w:pPr>
            <w:r>
              <w:rPr>
                <w:rFonts w:cs="Times New Roman"/>
                <w:szCs w:val="21"/>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958" w:type="dxa"/>
            <w:tcMar>
              <w:top w:w="16" w:type="dxa"/>
              <w:left w:w="16" w:type="dxa"/>
              <w:right w:w="16" w:type="dxa"/>
            </w:tcMar>
            <w:vAlign w:val="center"/>
          </w:tcPr>
          <w:p>
            <w:pPr>
              <w:autoSpaceDE w:val="0"/>
              <w:autoSpaceDN w:val="0"/>
              <w:adjustRightInd w:val="0"/>
              <w:snapToGrid w:val="0"/>
              <w:jc w:val="center"/>
              <w:rPr>
                <w:rFonts w:cs="Times New Roman"/>
                <w:kern w:val="0"/>
                <w:szCs w:val="21"/>
              </w:rPr>
            </w:pPr>
            <w:r>
              <w:rPr>
                <w:rFonts w:cs="Times New Roman"/>
                <w:kern w:val="0"/>
                <w:szCs w:val="21"/>
              </w:rPr>
              <w:t>专项评价设置情况</w:t>
            </w:r>
          </w:p>
        </w:tc>
        <w:tc>
          <w:tcPr>
            <w:tcW w:w="8081" w:type="dxa"/>
            <w:gridSpan w:val="4"/>
            <w:tcMar>
              <w:top w:w="16" w:type="dxa"/>
              <w:left w:w="16" w:type="dxa"/>
              <w:right w:w="16" w:type="dxa"/>
            </w:tcMar>
            <w:vAlign w:val="center"/>
          </w:tcPr>
          <w:p>
            <w:pPr>
              <w:autoSpaceDE w:val="0"/>
              <w:autoSpaceDN w:val="0"/>
              <w:adjustRightInd w:val="0"/>
              <w:snapToGrid w:val="0"/>
              <w:rPr>
                <w:rFonts w:cs="Times New Roman"/>
                <w:szCs w:val="21"/>
              </w:rPr>
            </w:pPr>
            <w:bookmarkStart w:id="5" w:name="_Hlk136936481"/>
            <w:r>
              <w:rPr>
                <w:rFonts w:cs="Times New Roman"/>
                <w:szCs w:val="21"/>
                <w:u w:val="single"/>
              </w:rPr>
              <w:t>根据《环境影响评价技术导则 输变电》（HJ 24 -2020）</w:t>
            </w:r>
            <w:r>
              <w:rPr>
                <w:rFonts w:hint="eastAsia" w:cs="Times New Roman"/>
                <w:szCs w:val="21"/>
                <w:u w:val="single"/>
              </w:rPr>
              <w:t>，</w:t>
            </w:r>
            <w:r>
              <w:rPr>
                <w:rFonts w:hint="eastAsia" w:cs="Times New Roman"/>
                <w:kern w:val="0"/>
                <w:szCs w:val="21"/>
                <w:u w:val="single"/>
              </w:rPr>
              <w:t>应设置</w:t>
            </w:r>
            <w:r>
              <w:rPr>
                <w:rFonts w:cs="Times New Roman"/>
                <w:kern w:val="0"/>
                <w:szCs w:val="21"/>
                <w:u w:val="single"/>
              </w:rPr>
              <w:t>电磁环境影响专</w:t>
            </w:r>
            <w:r>
              <w:rPr>
                <w:rFonts w:hint="eastAsia" w:cs="Times New Roman"/>
                <w:kern w:val="0"/>
                <w:szCs w:val="21"/>
                <w:u w:val="single"/>
              </w:rPr>
              <w:t>题</w:t>
            </w:r>
            <w:r>
              <w:rPr>
                <w:rFonts w:cs="Times New Roman"/>
                <w:kern w:val="0"/>
                <w:szCs w:val="21"/>
                <w:u w:val="single"/>
              </w:rPr>
              <w:t>评价</w:t>
            </w:r>
            <w:r>
              <w:rPr>
                <w:rFonts w:hint="eastAsia" w:cs="Times New Roman"/>
                <w:szCs w:val="21"/>
                <w:u w:val="single"/>
              </w:rPr>
              <w:t>。</w:t>
            </w:r>
            <w:bookmarkEnd w:id="5"/>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6" w:hRule="atLeast"/>
        </w:trPr>
        <w:tc>
          <w:tcPr>
            <w:tcW w:w="958" w:type="dxa"/>
            <w:tcMar>
              <w:top w:w="16" w:type="dxa"/>
              <w:left w:w="16" w:type="dxa"/>
              <w:right w:w="16" w:type="dxa"/>
            </w:tcMar>
            <w:vAlign w:val="center"/>
          </w:tcPr>
          <w:p>
            <w:pPr>
              <w:autoSpaceDE w:val="0"/>
              <w:autoSpaceDN w:val="0"/>
              <w:adjustRightInd w:val="0"/>
              <w:snapToGrid w:val="0"/>
              <w:jc w:val="center"/>
              <w:rPr>
                <w:rFonts w:cs="Times New Roman"/>
                <w:kern w:val="0"/>
                <w:szCs w:val="21"/>
              </w:rPr>
            </w:pPr>
            <w:r>
              <w:rPr>
                <w:rFonts w:cs="Times New Roman"/>
                <w:szCs w:val="21"/>
              </w:rPr>
              <w:t>规划情况</w:t>
            </w:r>
          </w:p>
        </w:tc>
        <w:tc>
          <w:tcPr>
            <w:tcW w:w="8081" w:type="dxa"/>
            <w:gridSpan w:val="4"/>
            <w:tcMar>
              <w:top w:w="16" w:type="dxa"/>
              <w:left w:w="16" w:type="dxa"/>
              <w:right w:w="16" w:type="dxa"/>
            </w:tcMar>
            <w:vAlign w:val="center"/>
          </w:tcPr>
          <w:p>
            <w:pPr>
              <w:autoSpaceDE w:val="0"/>
              <w:autoSpaceDN w:val="0"/>
              <w:adjustRightInd w:val="0"/>
              <w:snapToGrid w:val="0"/>
              <w:jc w:val="center"/>
              <w:rPr>
                <w:rFonts w:cs="Times New Roman"/>
                <w:kern w:val="0"/>
                <w:szCs w:val="21"/>
              </w:rPr>
            </w:pPr>
            <w:r>
              <w:rPr>
                <w:rFonts w:cs="Times New Roman"/>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958" w:type="dxa"/>
            <w:tcMar>
              <w:top w:w="16" w:type="dxa"/>
              <w:left w:w="16" w:type="dxa"/>
              <w:right w:w="16" w:type="dxa"/>
            </w:tcMar>
            <w:vAlign w:val="center"/>
          </w:tcPr>
          <w:p>
            <w:pPr>
              <w:autoSpaceDE w:val="0"/>
              <w:autoSpaceDN w:val="0"/>
              <w:adjustRightInd w:val="0"/>
              <w:snapToGrid w:val="0"/>
              <w:jc w:val="center"/>
              <w:rPr>
                <w:rFonts w:cs="Times New Roman"/>
                <w:szCs w:val="21"/>
              </w:rPr>
            </w:pPr>
            <w:r>
              <w:rPr>
                <w:rFonts w:cs="Times New Roman"/>
                <w:szCs w:val="21"/>
              </w:rPr>
              <w:t>规划环境影响</w:t>
            </w:r>
          </w:p>
          <w:p>
            <w:pPr>
              <w:autoSpaceDE w:val="0"/>
              <w:autoSpaceDN w:val="0"/>
              <w:adjustRightInd w:val="0"/>
              <w:snapToGrid w:val="0"/>
              <w:jc w:val="center"/>
              <w:rPr>
                <w:rFonts w:cs="Times New Roman"/>
                <w:kern w:val="0"/>
                <w:szCs w:val="21"/>
              </w:rPr>
            </w:pPr>
            <w:r>
              <w:rPr>
                <w:rFonts w:cs="Times New Roman"/>
                <w:szCs w:val="21"/>
              </w:rPr>
              <w:t>评价情况</w:t>
            </w:r>
          </w:p>
        </w:tc>
        <w:tc>
          <w:tcPr>
            <w:tcW w:w="8081" w:type="dxa"/>
            <w:gridSpan w:val="4"/>
            <w:tcMar>
              <w:top w:w="16" w:type="dxa"/>
              <w:left w:w="16" w:type="dxa"/>
              <w:right w:w="16" w:type="dxa"/>
            </w:tcMar>
            <w:vAlign w:val="center"/>
          </w:tcPr>
          <w:p>
            <w:pPr>
              <w:adjustRightInd w:val="0"/>
              <w:snapToGrid w:val="0"/>
              <w:jc w:val="center"/>
              <w:rPr>
                <w:rFonts w:cs="Times New Roman"/>
                <w:kern w:val="0"/>
                <w:szCs w:val="21"/>
              </w:rPr>
            </w:pPr>
            <w:r>
              <w:rPr>
                <w:rFonts w:cs="Times New Roman"/>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958" w:type="dxa"/>
            <w:tcMar>
              <w:top w:w="16" w:type="dxa"/>
              <w:left w:w="16" w:type="dxa"/>
              <w:right w:w="16" w:type="dxa"/>
            </w:tcMar>
            <w:vAlign w:val="center"/>
          </w:tcPr>
          <w:p>
            <w:pPr>
              <w:autoSpaceDE w:val="0"/>
              <w:autoSpaceDN w:val="0"/>
              <w:adjustRightInd w:val="0"/>
              <w:snapToGrid w:val="0"/>
              <w:jc w:val="center"/>
              <w:rPr>
                <w:rFonts w:cs="Times New Roman"/>
                <w:kern w:val="0"/>
                <w:szCs w:val="21"/>
                <w:highlight w:val="yellow"/>
              </w:rPr>
            </w:pPr>
            <w:r>
              <w:rPr>
                <w:rFonts w:cs="Times New Roman"/>
                <w:kern w:val="0"/>
                <w:szCs w:val="21"/>
              </w:rPr>
              <w:t>规划及</w:t>
            </w:r>
            <w:r>
              <w:rPr>
                <w:rFonts w:cs="Times New Roman"/>
                <w:szCs w:val="21"/>
              </w:rPr>
              <w:t>规划环境影响评价</w:t>
            </w:r>
            <w:r>
              <w:rPr>
                <w:rFonts w:cs="Times New Roman"/>
                <w:kern w:val="0"/>
                <w:szCs w:val="21"/>
              </w:rPr>
              <w:t>符合性分析</w:t>
            </w:r>
          </w:p>
        </w:tc>
        <w:tc>
          <w:tcPr>
            <w:tcW w:w="8081" w:type="dxa"/>
            <w:gridSpan w:val="4"/>
            <w:tcMar>
              <w:top w:w="16" w:type="dxa"/>
              <w:left w:w="16" w:type="dxa"/>
              <w:right w:w="16" w:type="dxa"/>
            </w:tcMar>
            <w:vAlign w:val="center"/>
          </w:tcPr>
          <w:p>
            <w:pPr>
              <w:spacing w:line="360" w:lineRule="auto"/>
              <w:jc w:val="center"/>
              <w:rPr>
                <w:rFonts w:cs="Times New Roman"/>
                <w:szCs w:val="21"/>
                <w:highlight w:val="yellow"/>
              </w:rPr>
            </w:pPr>
            <w:r>
              <w:rPr>
                <w:rFonts w:hint="eastAsia" w:cs="Times New Roman"/>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229" w:hRule="atLeast"/>
        </w:trPr>
        <w:tc>
          <w:tcPr>
            <w:tcW w:w="958" w:type="dxa"/>
            <w:tcMar>
              <w:top w:w="16" w:type="dxa"/>
              <w:left w:w="16" w:type="dxa"/>
              <w:right w:w="16" w:type="dxa"/>
            </w:tcMar>
            <w:vAlign w:val="center"/>
          </w:tcPr>
          <w:p>
            <w:pPr>
              <w:autoSpaceDE w:val="0"/>
              <w:autoSpaceDN w:val="0"/>
              <w:adjustRightInd w:val="0"/>
              <w:snapToGrid w:val="0"/>
              <w:jc w:val="center"/>
              <w:rPr>
                <w:rFonts w:cs="Times New Roman"/>
                <w:kern w:val="0"/>
                <w:highlight w:val="yellow"/>
              </w:rPr>
            </w:pPr>
            <w:r>
              <w:rPr>
                <w:rFonts w:cs="Times New Roman"/>
                <w:kern w:val="0"/>
              </w:rPr>
              <w:t>其他符合性分析</w:t>
            </w:r>
          </w:p>
        </w:tc>
        <w:tc>
          <w:tcPr>
            <w:tcW w:w="8081" w:type="dxa"/>
            <w:gridSpan w:val="4"/>
            <w:tcMar>
              <w:top w:w="16" w:type="dxa"/>
              <w:left w:w="16" w:type="dxa"/>
              <w:right w:w="16" w:type="dxa"/>
            </w:tcMar>
            <w:vAlign w:val="center"/>
          </w:tcPr>
          <w:p>
            <w:pPr>
              <w:pStyle w:val="4"/>
              <w:numPr>
                <w:ilvl w:val="0"/>
                <w:numId w:val="0"/>
              </w:numPr>
              <w:rPr>
                <w:rFonts w:ascii="Times New Roman" w:hAnsi="Times New Roman" w:cs="Times New Roman"/>
                <w:highlight w:val="yellow"/>
              </w:rPr>
            </w:pPr>
            <w:r>
              <w:rPr>
                <w:rFonts w:ascii="Times New Roman" w:hAnsi="Times New Roman" w:cs="Times New Roman"/>
              </w:rPr>
              <w:t>1.</w:t>
            </w:r>
            <w:r>
              <w:rPr>
                <w:rFonts w:hint="eastAsia" w:ascii="Times New Roman" w:hAnsi="Times New Roman" w:cs="Times New Roman"/>
              </w:rPr>
              <w:t>本项目与《海宁市</w:t>
            </w:r>
            <w:r>
              <w:rPr>
                <w:rFonts w:ascii="Times New Roman" w:hAnsi="Times New Roman" w:cs="Times New Roman"/>
              </w:rPr>
              <w:t>“</w:t>
            </w:r>
            <w:r>
              <w:rPr>
                <w:rFonts w:hint="eastAsia" w:ascii="Times New Roman" w:hAnsi="Times New Roman" w:cs="Times New Roman"/>
              </w:rPr>
              <w:t>三线一单</w:t>
            </w:r>
            <w:r>
              <w:rPr>
                <w:rFonts w:ascii="Times New Roman" w:hAnsi="Times New Roman" w:cs="Times New Roman"/>
              </w:rPr>
              <w:t>”</w:t>
            </w:r>
            <w:r>
              <w:rPr>
                <w:rFonts w:hint="eastAsia" w:ascii="Times New Roman" w:hAnsi="Times New Roman" w:cs="Times New Roman"/>
              </w:rPr>
              <w:t>生态环境分区管控方案》符合性分析</w:t>
            </w:r>
          </w:p>
          <w:p>
            <w:pPr>
              <w:pStyle w:val="24"/>
              <w:ind w:firstLine="420"/>
              <w:rPr>
                <w:rFonts w:cs="Times New Roman"/>
              </w:rPr>
            </w:pPr>
            <w:r>
              <w:rPr>
                <w:rFonts w:cs="Times New Roman"/>
              </w:rPr>
              <w:t>（1）生态保护红线相符性</w:t>
            </w:r>
          </w:p>
          <w:p>
            <w:pPr>
              <w:pStyle w:val="24"/>
              <w:ind w:firstLine="420"/>
              <w:rPr>
                <w:rFonts w:cs="Times New Roman"/>
                <w:highlight w:val="yellow"/>
              </w:rPr>
            </w:pPr>
            <w:r>
              <w:rPr>
                <w:rFonts w:cs="Times New Roman"/>
              </w:rPr>
              <w:t>本</w:t>
            </w:r>
            <w:r>
              <w:rPr>
                <w:rFonts w:hint="eastAsia" w:cs="Times New Roman"/>
              </w:rPr>
              <w:t>项目</w:t>
            </w:r>
            <w:r>
              <w:rPr>
                <w:rFonts w:cs="Times New Roman"/>
              </w:rPr>
              <w:t>位于</w:t>
            </w:r>
            <w:r>
              <w:rPr>
                <w:rFonts w:cs="Times New Roman"/>
                <w:szCs w:val="21"/>
              </w:rPr>
              <w:t>浙江省</w:t>
            </w:r>
            <w:r>
              <w:rPr>
                <w:rFonts w:hint="eastAsia" w:cs="Times New Roman"/>
                <w:szCs w:val="21"/>
              </w:rPr>
              <w:t>海宁市周王庙镇</w:t>
            </w:r>
            <w:r>
              <w:rPr>
                <w:rFonts w:cs="Times New Roman"/>
              </w:rPr>
              <w:t>，不涉及</w:t>
            </w:r>
            <w:r>
              <w:rPr>
                <w:rFonts w:hint="eastAsia" w:cs="Times New Roman"/>
                <w:szCs w:val="21"/>
              </w:rPr>
              <w:t>海宁市</w:t>
            </w:r>
            <w:r>
              <w:rPr>
                <w:rFonts w:cs="Times New Roman"/>
              </w:rPr>
              <w:t>生态保护红线，工程与</w:t>
            </w:r>
            <w:r>
              <w:rPr>
                <w:rFonts w:hint="eastAsia" w:cs="Times New Roman"/>
                <w:szCs w:val="21"/>
              </w:rPr>
              <w:t>海宁市</w:t>
            </w:r>
            <w:r>
              <w:rPr>
                <w:rFonts w:cs="Times New Roman"/>
              </w:rPr>
              <w:t>环境管控单元位置关系见附图1。</w:t>
            </w:r>
          </w:p>
          <w:p>
            <w:pPr>
              <w:pStyle w:val="24"/>
              <w:ind w:firstLine="420"/>
              <w:rPr>
                <w:rFonts w:cs="Times New Roman"/>
              </w:rPr>
            </w:pPr>
            <w:r>
              <w:rPr>
                <w:rFonts w:cs="Times New Roman"/>
              </w:rPr>
              <w:t>（2）环境质量底线相符性</w:t>
            </w:r>
          </w:p>
          <w:p>
            <w:pPr>
              <w:pStyle w:val="24"/>
              <w:ind w:firstLine="420"/>
              <w:rPr>
                <w:rFonts w:cs="Times New Roman"/>
              </w:rPr>
            </w:pPr>
            <w:r>
              <w:rPr>
                <w:rFonts w:cs="Times New Roman"/>
              </w:rPr>
              <w:t>本项目</w:t>
            </w:r>
            <w:r>
              <w:rPr>
                <w:rFonts w:hint="eastAsia" w:cs="Times New Roman"/>
              </w:rPr>
              <w:t>为输电线路工程，施工期基本无生产废水产生，生活</w:t>
            </w:r>
            <w:r>
              <w:rPr>
                <w:rFonts w:cs="Times New Roman"/>
                <w:szCs w:val="21"/>
              </w:rPr>
              <w:t>污水可纳入工人租住民房污水系统处理</w:t>
            </w:r>
            <w:r>
              <w:rPr>
                <w:rFonts w:hint="eastAsia" w:cs="Times New Roman"/>
                <w:szCs w:val="21"/>
              </w:rPr>
              <w:t>，施工期</w:t>
            </w:r>
            <w:r>
              <w:rPr>
                <w:rFonts w:cs="Times New Roman"/>
                <w:szCs w:val="21"/>
              </w:rPr>
              <w:t>生活垃圾纳入其租住民房的垃圾收集系统收集处理</w:t>
            </w:r>
            <w:r>
              <w:rPr>
                <w:rFonts w:hint="eastAsia" w:cs="Times New Roman"/>
                <w:szCs w:val="21"/>
              </w:rPr>
              <w:t>，施工期扬尘产生量较少；</w:t>
            </w:r>
            <w:r>
              <w:rPr>
                <w:rFonts w:cs="Times New Roman"/>
              </w:rPr>
              <w:t>运行期不产生污水、固废及大气污染物，不会对周边大气和地表水环境造成影响。从水环境优先保护区方面分析，本项目不会对水资源、水环境造成影响；从大气环境质量优先保护区方面分析，本项目运行期不排放大气污染物；从农用地优先保护区方面分析，本项目不属于需要严格控制或禁止的行业。因此，本项目建设不会改变区域环境功能区质量要求，与现有环境质量是相容的，符合环境质量底线的要求。</w:t>
            </w:r>
          </w:p>
          <w:p>
            <w:pPr>
              <w:pStyle w:val="24"/>
              <w:ind w:firstLine="420"/>
              <w:rPr>
                <w:rFonts w:cs="Times New Roman"/>
              </w:rPr>
            </w:pPr>
            <w:r>
              <w:rPr>
                <w:rFonts w:cs="Times New Roman"/>
              </w:rPr>
              <w:t>（3）资源利用上线相符性</w:t>
            </w:r>
          </w:p>
          <w:p>
            <w:pPr>
              <w:pStyle w:val="24"/>
              <w:ind w:firstLine="420"/>
              <w:rPr>
                <w:rFonts w:cs="Times New Roman"/>
              </w:rPr>
            </w:pPr>
            <w:r>
              <w:rPr>
                <w:rFonts w:cs="Times New Roman"/>
              </w:rPr>
              <w:t>本项目为输电线路工程，线路塔基永久占地</w:t>
            </w:r>
            <w:r>
              <w:rPr>
                <w:rFonts w:hint="eastAsia" w:cs="Times New Roman"/>
              </w:rPr>
              <w:t>约</w:t>
            </w:r>
            <w:r>
              <w:rPr>
                <w:rFonts w:cs="Times New Roman"/>
              </w:rPr>
              <w:t>100m</w:t>
            </w:r>
            <w:r>
              <w:rPr>
                <w:rFonts w:cs="Times New Roman"/>
                <w:vertAlign w:val="superscript"/>
              </w:rPr>
              <w:t>2</w:t>
            </w:r>
            <w:r>
              <w:rPr>
                <w:rFonts w:cs="Times New Roman"/>
              </w:rPr>
              <w:t>，工程生产过程不涉及自然资源开发利用，运行期无用水需求，不会突破地区环境资源利用的“天花板”。</w:t>
            </w:r>
          </w:p>
          <w:p>
            <w:pPr>
              <w:pStyle w:val="24"/>
              <w:ind w:firstLine="420"/>
              <w:rPr>
                <w:rFonts w:cs="Times New Roman"/>
              </w:rPr>
            </w:pPr>
            <w:r>
              <w:rPr>
                <w:rFonts w:cs="Times New Roman"/>
              </w:rPr>
              <w:t>（4）生态环境准入清单相符性</w:t>
            </w:r>
          </w:p>
          <w:p>
            <w:pPr>
              <w:pStyle w:val="24"/>
              <w:ind w:firstLine="420"/>
              <w:rPr>
                <w:rFonts w:cs="Times New Roman"/>
                <w:highlight w:val="yellow"/>
              </w:rPr>
            </w:pPr>
            <w:r>
              <w:rPr>
                <w:rFonts w:cs="Times New Roman"/>
              </w:rPr>
              <w:t>本</w:t>
            </w:r>
            <w:r>
              <w:rPr>
                <w:rFonts w:hint="eastAsia" w:cs="Times New Roman"/>
              </w:rPr>
              <w:t>项目涉及</w:t>
            </w:r>
            <w:r>
              <w:rPr>
                <w:rFonts w:hint="eastAsia" w:cs="Times New Roman"/>
                <w:szCs w:val="21"/>
              </w:rPr>
              <w:t>海宁市</w:t>
            </w:r>
            <w:r>
              <w:rPr>
                <w:rFonts w:hint="eastAsia" w:cs="Times New Roman"/>
              </w:rPr>
              <w:t>一般管控单元（</w:t>
            </w:r>
            <w:r>
              <w:rPr>
                <w:rFonts w:cs="Times New Roman"/>
              </w:rPr>
              <w:t>ZH33048130001</w:t>
            </w:r>
            <w:r>
              <w:rPr>
                <w:rFonts w:hint="eastAsia" w:cs="Times New Roman"/>
              </w:rPr>
              <w:t>）。本项目为电力供应行业，属于城市基础建设项目</w:t>
            </w:r>
            <w:r>
              <w:rPr>
                <w:rFonts w:cs="Times New Roman"/>
              </w:rPr>
              <w:t>，满足管控方案中的空间布局引导条件；本项目投运后，不产生废水、废气、固废等污染物，不涉及污染物总量控制</w:t>
            </w:r>
            <w:r>
              <w:rPr>
                <w:rFonts w:hint="eastAsia" w:cs="Times New Roman"/>
              </w:rPr>
              <w:t>，</w:t>
            </w:r>
            <w:r>
              <w:rPr>
                <w:rFonts w:cs="Times New Roman"/>
              </w:rPr>
              <w:t>不新增污染物排放总量。满足污染排放管控要求</w:t>
            </w:r>
            <w:r>
              <w:rPr>
                <w:rFonts w:hint="eastAsia" w:cs="Times New Roman"/>
              </w:rPr>
              <w:t>，</w:t>
            </w:r>
            <w:r>
              <w:rPr>
                <w:rFonts w:cs="Times New Roman"/>
              </w:rPr>
              <w:t>项目运行期无资源需求，满足资源开发效率要求。</w:t>
            </w:r>
          </w:p>
          <w:p>
            <w:pPr>
              <w:pStyle w:val="24"/>
              <w:ind w:firstLine="420"/>
              <w:rPr>
                <w:rFonts w:cs="Times New Roman"/>
              </w:rPr>
            </w:pPr>
            <w:r>
              <w:rPr>
                <w:rFonts w:cs="Times New Roman"/>
              </w:rPr>
              <w:t>综上所述，工程建设符合</w:t>
            </w:r>
            <w:r>
              <w:rPr>
                <w:rFonts w:hint="eastAsia" w:cs="Times New Roman"/>
                <w:szCs w:val="21"/>
              </w:rPr>
              <w:t>海宁市</w:t>
            </w:r>
            <w:r>
              <w:rPr>
                <w:rFonts w:cs="Times New Roman"/>
              </w:rPr>
              <w:t>“三线一单”生态环境分区管控方案的相关要求。</w:t>
            </w:r>
          </w:p>
          <w:p>
            <w:pPr>
              <w:pStyle w:val="24"/>
              <w:ind w:firstLine="420"/>
              <w:rPr>
                <w:rFonts w:cs="Times New Roman"/>
              </w:rPr>
            </w:pPr>
            <w:r>
              <w:rPr>
                <w:rFonts w:cs="Times New Roman"/>
              </w:rPr>
              <w:t>其“三线一单”环境管控生态环境准入清单要求见表1.1-1。</w:t>
            </w:r>
          </w:p>
          <w:p>
            <w:pPr>
              <w:pStyle w:val="24"/>
              <w:ind w:firstLine="420"/>
              <w:rPr>
                <w:rFonts w:cs="Times New Roman"/>
              </w:rPr>
            </w:pPr>
          </w:p>
          <w:p>
            <w:pPr>
              <w:pStyle w:val="24"/>
              <w:ind w:firstLine="420"/>
              <w:rPr>
                <w:rFonts w:cs="Times New Roman"/>
              </w:rPr>
            </w:pPr>
          </w:p>
          <w:p>
            <w:pPr>
              <w:pStyle w:val="24"/>
              <w:ind w:firstLine="420"/>
              <w:rPr>
                <w:rFonts w:cs="Times New Roman"/>
              </w:rPr>
            </w:pPr>
          </w:p>
          <w:p>
            <w:pPr>
              <w:pStyle w:val="24"/>
              <w:ind w:firstLine="420"/>
              <w:rPr>
                <w:rFonts w:cs="Times New Roman"/>
              </w:rPr>
            </w:pPr>
          </w:p>
          <w:p>
            <w:pPr>
              <w:pStyle w:val="24"/>
              <w:ind w:firstLine="420"/>
              <w:rPr>
                <w:rFonts w:cs="Times New Roman"/>
              </w:rPr>
            </w:pPr>
          </w:p>
          <w:p>
            <w:pPr>
              <w:pStyle w:val="24"/>
              <w:ind w:firstLine="420"/>
              <w:rPr>
                <w:rFonts w:cs="Times New Roman"/>
              </w:rPr>
            </w:pPr>
          </w:p>
          <w:p>
            <w:pPr>
              <w:pStyle w:val="24"/>
              <w:ind w:firstLine="420"/>
              <w:rPr>
                <w:rFonts w:cs="Times New Roman"/>
                <w:highlight w:val="yellow"/>
              </w:rPr>
            </w:pPr>
          </w:p>
        </w:tc>
      </w:tr>
    </w:tbl>
    <w:p>
      <w:pPr>
        <w:rPr>
          <w:rFonts w:cs="Times New Roman"/>
        </w:rPr>
        <w:sectPr>
          <w:footerReference r:id="rId4" w:type="default"/>
          <w:pgSz w:w="11906" w:h="16838"/>
          <w:pgMar w:top="1418" w:right="1418" w:bottom="1418" w:left="1418" w:header="851" w:footer="992" w:gutter="0"/>
          <w:pgNumType w:start="1"/>
          <w:cols w:space="425" w:num="1"/>
          <w:docGrid w:type="lines" w:linePitch="312" w:charSpace="0"/>
        </w:sectPr>
      </w:pPr>
    </w:p>
    <w:p>
      <w:pPr>
        <w:pStyle w:val="53"/>
        <w:rPr>
          <w:szCs w:val="18"/>
        </w:rPr>
      </w:pPr>
      <w:r>
        <w:rPr>
          <w:szCs w:val="18"/>
        </w:rPr>
        <w:t xml:space="preserve">表1.1-1  </w:t>
      </w:r>
      <w:r>
        <w:rPr>
          <w:rFonts w:hint="eastAsia"/>
          <w:szCs w:val="18"/>
        </w:rPr>
        <w:t>海宁市</w:t>
      </w:r>
      <w:r>
        <w:rPr>
          <w:szCs w:val="18"/>
        </w:rPr>
        <w:t>“三线一单”生态环境分区管控方案</w:t>
      </w:r>
    </w:p>
    <w:tbl>
      <w:tblPr>
        <w:tblStyle w:val="25"/>
        <w:tblW w:w="491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28"/>
        <w:gridCol w:w="837"/>
        <w:gridCol w:w="560"/>
        <w:gridCol w:w="4140"/>
        <w:gridCol w:w="1550"/>
        <w:gridCol w:w="1521"/>
        <w:gridCol w:w="1423"/>
        <w:gridCol w:w="3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7" w:hRule="atLeast"/>
        </w:trPr>
        <w:tc>
          <w:tcPr>
            <w:tcW w:w="323" w:type="pct"/>
            <w:vMerge w:val="restart"/>
            <w:vAlign w:val="center"/>
          </w:tcPr>
          <w:p>
            <w:pPr>
              <w:jc w:val="center"/>
              <w:rPr>
                <w:rFonts w:cs="Times New Roman"/>
                <w:sz w:val="18"/>
                <w:szCs w:val="18"/>
              </w:rPr>
            </w:pPr>
            <w:r>
              <w:rPr>
                <w:rFonts w:cs="Times New Roman"/>
                <w:sz w:val="18"/>
                <w:szCs w:val="18"/>
              </w:rPr>
              <w:t>环境管控单元</w:t>
            </w:r>
          </w:p>
          <w:p>
            <w:pPr>
              <w:jc w:val="center"/>
              <w:rPr>
                <w:rFonts w:cs="Times New Roman"/>
                <w:sz w:val="18"/>
                <w:szCs w:val="18"/>
              </w:rPr>
            </w:pPr>
            <w:r>
              <w:rPr>
                <w:rFonts w:cs="Times New Roman"/>
                <w:sz w:val="18"/>
                <w:szCs w:val="18"/>
              </w:rPr>
              <w:t>编码</w:t>
            </w:r>
          </w:p>
        </w:tc>
        <w:tc>
          <w:tcPr>
            <w:tcW w:w="291" w:type="pct"/>
            <w:vMerge w:val="restart"/>
            <w:vAlign w:val="center"/>
          </w:tcPr>
          <w:p>
            <w:pPr>
              <w:jc w:val="center"/>
              <w:rPr>
                <w:rFonts w:cs="Times New Roman"/>
                <w:sz w:val="18"/>
                <w:szCs w:val="18"/>
              </w:rPr>
            </w:pPr>
            <w:r>
              <w:rPr>
                <w:rFonts w:cs="Times New Roman"/>
                <w:sz w:val="18"/>
                <w:szCs w:val="18"/>
              </w:rPr>
              <w:t>环境管控单元名称</w:t>
            </w:r>
          </w:p>
        </w:tc>
        <w:tc>
          <w:tcPr>
            <w:tcW w:w="195" w:type="pct"/>
            <w:vMerge w:val="restart"/>
            <w:vAlign w:val="center"/>
          </w:tcPr>
          <w:p>
            <w:pPr>
              <w:jc w:val="center"/>
              <w:rPr>
                <w:rFonts w:cs="Times New Roman"/>
                <w:sz w:val="18"/>
                <w:szCs w:val="18"/>
              </w:rPr>
            </w:pPr>
            <w:r>
              <w:rPr>
                <w:rFonts w:cs="Times New Roman"/>
                <w:sz w:val="18"/>
                <w:szCs w:val="18"/>
              </w:rPr>
              <w:t>管控单元分类</w:t>
            </w:r>
          </w:p>
        </w:tc>
        <w:tc>
          <w:tcPr>
            <w:tcW w:w="1440" w:type="pct"/>
            <w:vMerge w:val="restart"/>
            <w:vAlign w:val="center"/>
          </w:tcPr>
          <w:p>
            <w:pPr>
              <w:jc w:val="center"/>
              <w:rPr>
                <w:rFonts w:cs="Times New Roman"/>
                <w:sz w:val="18"/>
                <w:szCs w:val="18"/>
              </w:rPr>
            </w:pPr>
            <w:r>
              <w:rPr>
                <w:rFonts w:cs="Times New Roman"/>
                <w:sz w:val="18"/>
                <w:szCs w:val="18"/>
              </w:rPr>
              <w:t>空间布局约束</w:t>
            </w:r>
          </w:p>
        </w:tc>
        <w:tc>
          <w:tcPr>
            <w:tcW w:w="539" w:type="pct"/>
            <w:vMerge w:val="restart"/>
            <w:vAlign w:val="center"/>
          </w:tcPr>
          <w:p>
            <w:pPr>
              <w:jc w:val="center"/>
              <w:rPr>
                <w:rFonts w:cs="Times New Roman"/>
                <w:sz w:val="18"/>
                <w:szCs w:val="18"/>
              </w:rPr>
            </w:pPr>
            <w:r>
              <w:rPr>
                <w:rFonts w:cs="Times New Roman"/>
                <w:sz w:val="18"/>
                <w:szCs w:val="18"/>
              </w:rPr>
              <w:t>污染物排放管控制</w:t>
            </w:r>
          </w:p>
        </w:tc>
        <w:tc>
          <w:tcPr>
            <w:tcW w:w="529" w:type="pct"/>
            <w:vMerge w:val="restart"/>
            <w:vAlign w:val="center"/>
          </w:tcPr>
          <w:p>
            <w:pPr>
              <w:jc w:val="center"/>
              <w:rPr>
                <w:rFonts w:cs="Times New Roman"/>
                <w:sz w:val="18"/>
                <w:szCs w:val="18"/>
              </w:rPr>
            </w:pPr>
            <w:r>
              <w:rPr>
                <w:rFonts w:cs="Times New Roman"/>
                <w:sz w:val="18"/>
                <w:szCs w:val="18"/>
              </w:rPr>
              <w:t>环境风险防控</w:t>
            </w:r>
          </w:p>
        </w:tc>
        <w:tc>
          <w:tcPr>
            <w:tcW w:w="495" w:type="pct"/>
            <w:vMerge w:val="restart"/>
            <w:vAlign w:val="center"/>
          </w:tcPr>
          <w:p>
            <w:pPr>
              <w:jc w:val="center"/>
              <w:rPr>
                <w:rFonts w:cs="Times New Roman"/>
                <w:sz w:val="18"/>
                <w:szCs w:val="18"/>
              </w:rPr>
            </w:pPr>
            <w:r>
              <w:rPr>
                <w:rFonts w:cs="Times New Roman"/>
                <w:sz w:val="18"/>
                <w:szCs w:val="18"/>
              </w:rPr>
              <w:t>资源开发效率</w:t>
            </w:r>
          </w:p>
        </w:tc>
        <w:tc>
          <w:tcPr>
            <w:tcW w:w="1188" w:type="pct"/>
            <w:vMerge w:val="restart"/>
            <w:vAlign w:val="center"/>
          </w:tcPr>
          <w:p>
            <w:pPr>
              <w:jc w:val="center"/>
              <w:rPr>
                <w:rFonts w:cs="Times New Roman"/>
                <w:sz w:val="18"/>
                <w:szCs w:val="18"/>
              </w:rPr>
            </w:pPr>
            <w:r>
              <w:rPr>
                <w:rFonts w:cs="Times New Roman"/>
                <w:sz w:val="18"/>
                <w:szCs w:val="18"/>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7" w:hRule="atLeast"/>
        </w:trPr>
        <w:tc>
          <w:tcPr>
            <w:tcW w:w="323" w:type="pct"/>
            <w:vMerge w:val="continue"/>
            <w:vAlign w:val="center"/>
          </w:tcPr>
          <w:p>
            <w:pPr>
              <w:rPr>
                <w:rFonts w:cs="Times New Roman"/>
                <w:sz w:val="18"/>
                <w:szCs w:val="18"/>
              </w:rPr>
            </w:pPr>
          </w:p>
        </w:tc>
        <w:tc>
          <w:tcPr>
            <w:tcW w:w="291" w:type="pct"/>
            <w:vMerge w:val="continue"/>
            <w:vAlign w:val="center"/>
          </w:tcPr>
          <w:p>
            <w:pPr>
              <w:rPr>
                <w:rFonts w:cs="Times New Roman"/>
                <w:sz w:val="18"/>
                <w:szCs w:val="18"/>
              </w:rPr>
            </w:pPr>
          </w:p>
        </w:tc>
        <w:tc>
          <w:tcPr>
            <w:tcW w:w="195" w:type="pct"/>
            <w:vMerge w:val="continue"/>
            <w:vAlign w:val="center"/>
          </w:tcPr>
          <w:p>
            <w:pPr>
              <w:rPr>
                <w:rFonts w:cs="Times New Roman"/>
                <w:sz w:val="18"/>
                <w:szCs w:val="18"/>
              </w:rPr>
            </w:pPr>
          </w:p>
        </w:tc>
        <w:tc>
          <w:tcPr>
            <w:tcW w:w="1440" w:type="pct"/>
            <w:vMerge w:val="continue"/>
            <w:vAlign w:val="center"/>
          </w:tcPr>
          <w:p>
            <w:pPr>
              <w:rPr>
                <w:rFonts w:cs="Times New Roman"/>
                <w:sz w:val="18"/>
                <w:szCs w:val="18"/>
              </w:rPr>
            </w:pPr>
          </w:p>
        </w:tc>
        <w:tc>
          <w:tcPr>
            <w:tcW w:w="539" w:type="pct"/>
            <w:vMerge w:val="continue"/>
            <w:vAlign w:val="center"/>
          </w:tcPr>
          <w:p>
            <w:pPr>
              <w:rPr>
                <w:rFonts w:cs="Times New Roman"/>
                <w:sz w:val="18"/>
                <w:szCs w:val="18"/>
              </w:rPr>
            </w:pPr>
          </w:p>
        </w:tc>
        <w:tc>
          <w:tcPr>
            <w:tcW w:w="529" w:type="pct"/>
            <w:vMerge w:val="continue"/>
            <w:vAlign w:val="center"/>
          </w:tcPr>
          <w:p>
            <w:pPr>
              <w:rPr>
                <w:rFonts w:cs="Times New Roman"/>
                <w:sz w:val="18"/>
                <w:szCs w:val="18"/>
              </w:rPr>
            </w:pPr>
          </w:p>
        </w:tc>
        <w:tc>
          <w:tcPr>
            <w:tcW w:w="495" w:type="pct"/>
            <w:vMerge w:val="continue"/>
            <w:vAlign w:val="center"/>
          </w:tcPr>
          <w:p>
            <w:pPr>
              <w:rPr>
                <w:rFonts w:cs="Times New Roman"/>
                <w:sz w:val="18"/>
                <w:szCs w:val="18"/>
              </w:rPr>
            </w:pPr>
          </w:p>
        </w:tc>
        <w:tc>
          <w:tcPr>
            <w:tcW w:w="1188" w:type="pct"/>
            <w:vMerge w:val="continue"/>
            <w:vAlign w:val="center"/>
          </w:tcPr>
          <w:p>
            <w:pPr>
              <w:rPr>
                <w:rFonts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47" w:hRule="atLeast"/>
        </w:trPr>
        <w:tc>
          <w:tcPr>
            <w:tcW w:w="323" w:type="pct"/>
            <w:vAlign w:val="center"/>
          </w:tcPr>
          <w:p>
            <w:pPr>
              <w:jc w:val="center"/>
              <w:rPr>
                <w:rFonts w:cs="Times New Roman"/>
                <w:sz w:val="18"/>
                <w:szCs w:val="18"/>
              </w:rPr>
            </w:pPr>
            <w:r>
              <w:rPr>
                <w:rFonts w:cs="Times New Roman"/>
                <w:sz w:val="18"/>
                <w:szCs w:val="18"/>
              </w:rPr>
              <w:t>ZH33048130001</w:t>
            </w:r>
          </w:p>
        </w:tc>
        <w:tc>
          <w:tcPr>
            <w:tcW w:w="291" w:type="pct"/>
            <w:vAlign w:val="center"/>
          </w:tcPr>
          <w:p>
            <w:pPr>
              <w:jc w:val="center"/>
              <w:rPr>
                <w:rFonts w:cs="Times New Roman"/>
                <w:sz w:val="18"/>
                <w:szCs w:val="18"/>
              </w:rPr>
            </w:pPr>
            <w:r>
              <w:rPr>
                <w:rFonts w:hint="eastAsia" w:cs="Times New Roman"/>
                <w:sz w:val="18"/>
                <w:szCs w:val="18"/>
              </w:rPr>
              <w:t>海宁市一般管控单元</w:t>
            </w:r>
          </w:p>
        </w:tc>
        <w:tc>
          <w:tcPr>
            <w:tcW w:w="195" w:type="pct"/>
            <w:vAlign w:val="center"/>
          </w:tcPr>
          <w:p>
            <w:pPr>
              <w:jc w:val="center"/>
              <w:rPr>
                <w:rFonts w:cs="Times New Roman"/>
                <w:sz w:val="18"/>
                <w:szCs w:val="18"/>
              </w:rPr>
            </w:pPr>
            <w:r>
              <w:rPr>
                <w:rFonts w:hint="eastAsia" w:cs="Times New Roman"/>
                <w:sz w:val="18"/>
                <w:szCs w:val="18"/>
              </w:rPr>
              <w:t>一般管控单元</w:t>
            </w:r>
          </w:p>
        </w:tc>
        <w:tc>
          <w:tcPr>
            <w:tcW w:w="1440" w:type="pct"/>
            <w:vAlign w:val="center"/>
          </w:tcPr>
          <w:p>
            <w:pPr>
              <w:rPr>
                <w:rFonts w:cs="Times New Roman"/>
                <w:sz w:val="18"/>
                <w:szCs w:val="18"/>
              </w:rPr>
            </w:pPr>
            <w:r>
              <w:rPr>
                <w:rFonts w:hint="eastAsia" w:cs="Times New Roman"/>
                <w:sz w:val="18"/>
                <w:szCs w:val="18"/>
              </w:rPr>
              <w:t>1、原则上禁止新建三类工业项目，现有三类工业项目扩建、改建不得增加污染物排放总量</w:t>
            </w:r>
          </w:p>
          <w:p>
            <w:pPr>
              <w:rPr>
                <w:rFonts w:cs="Times New Roman"/>
                <w:sz w:val="18"/>
                <w:szCs w:val="18"/>
              </w:rPr>
            </w:pPr>
            <w:r>
              <w:rPr>
                <w:rFonts w:hint="eastAsia" w:cs="Times New Roman"/>
                <w:sz w:val="18"/>
                <w:szCs w:val="18"/>
              </w:rPr>
              <w:t>并严格控制环境风险。</w:t>
            </w:r>
          </w:p>
          <w:p>
            <w:pPr>
              <w:rPr>
                <w:rFonts w:cs="Times New Roman"/>
                <w:sz w:val="18"/>
                <w:szCs w:val="18"/>
              </w:rPr>
            </w:pPr>
            <w:r>
              <w:rPr>
                <w:rFonts w:hint="eastAsia" w:cs="Times New Roman"/>
                <w:sz w:val="18"/>
                <w:szCs w:val="18"/>
              </w:rPr>
              <w:t>2、禁止新建涉及一类重金属、持久性有机污染物排放的二类工业项目；禁止在工业功能区（小微园区、工业集聚点）外新建其他二类工业项目，一二产融合的加工类项目、利用当地资源的加工项目、工程项目配套的临时性项目等确实难以集聚的二类工业项目除外；工业功能区（小微园区、工业集聚点）外现有二类工业项目改建、扩建，不得增加污染物排放总量。</w:t>
            </w:r>
          </w:p>
          <w:p>
            <w:pPr>
              <w:rPr>
                <w:rFonts w:cs="Times New Roman"/>
                <w:sz w:val="18"/>
                <w:szCs w:val="18"/>
              </w:rPr>
            </w:pPr>
            <w:r>
              <w:rPr>
                <w:rFonts w:hint="eastAsia" w:cs="Times New Roman"/>
                <w:sz w:val="18"/>
                <w:szCs w:val="18"/>
              </w:rPr>
              <w:t>3、新建涉VOCs 排放的工业企业全部进入工业功能区，严格执行相关污染物排放量削减替代管理要求。</w:t>
            </w:r>
          </w:p>
          <w:p>
            <w:pPr>
              <w:rPr>
                <w:rFonts w:cs="Times New Roman"/>
                <w:sz w:val="18"/>
                <w:szCs w:val="18"/>
              </w:rPr>
            </w:pPr>
            <w:r>
              <w:rPr>
                <w:rFonts w:hint="eastAsia" w:cs="Times New Roman"/>
                <w:sz w:val="18"/>
                <w:szCs w:val="18"/>
              </w:rPr>
              <w:t>4、所有改、扩建耗煤项目，严格执行相关新增燃煤和污染物排放减量替代管理要求，且排污强度、能效和碳排放水平必须达到国内先进水平。</w:t>
            </w:r>
          </w:p>
          <w:p>
            <w:pPr>
              <w:rPr>
                <w:rFonts w:cs="Times New Roman"/>
                <w:sz w:val="18"/>
                <w:szCs w:val="18"/>
              </w:rPr>
            </w:pPr>
            <w:r>
              <w:rPr>
                <w:rFonts w:hint="eastAsia" w:cs="Times New Roman"/>
                <w:sz w:val="18"/>
                <w:szCs w:val="18"/>
              </w:rPr>
              <w:t>5、建立集镇居住商业区、耕地保护区与工业功能区等集聚区块之间的防护带。</w:t>
            </w:r>
          </w:p>
          <w:p>
            <w:pPr>
              <w:rPr>
                <w:rFonts w:cs="Times New Roman"/>
                <w:sz w:val="18"/>
                <w:szCs w:val="18"/>
              </w:rPr>
            </w:pPr>
            <w:r>
              <w:rPr>
                <w:rFonts w:hint="eastAsia" w:cs="Times New Roman"/>
                <w:sz w:val="18"/>
                <w:szCs w:val="18"/>
              </w:rPr>
              <w:t>6、严格执行畜禽养殖禁养区规定，根据区域用地和消纳水平，合理确定养殖规模。</w:t>
            </w:r>
          </w:p>
          <w:p>
            <w:pPr>
              <w:rPr>
                <w:rFonts w:cs="Times New Roman"/>
                <w:sz w:val="18"/>
                <w:szCs w:val="18"/>
              </w:rPr>
            </w:pPr>
            <w:r>
              <w:rPr>
                <w:rFonts w:hint="eastAsia" w:cs="Times New Roman"/>
                <w:sz w:val="18"/>
                <w:szCs w:val="18"/>
              </w:rPr>
              <w:t>7、加强基本农田保护，严格限制非农项目占用耕地。</w:t>
            </w:r>
          </w:p>
        </w:tc>
        <w:tc>
          <w:tcPr>
            <w:tcW w:w="539" w:type="pct"/>
            <w:vAlign w:val="center"/>
          </w:tcPr>
          <w:p>
            <w:pPr>
              <w:rPr>
                <w:rFonts w:cs="Times New Roman"/>
                <w:sz w:val="18"/>
                <w:szCs w:val="18"/>
              </w:rPr>
            </w:pPr>
            <w:r>
              <w:rPr>
                <w:rFonts w:hint="eastAsia" w:cs="Times New Roman"/>
                <w:sz w:val="18"/>
                <w:szCs w:val="18"/>
              </w:rPr>
              <w:t>1、加强工业污染物排放管控，原则上管控单元内工业污染物排放总量不得增加。</w:t>
            </w:r>
          </w:p>
          <w:p>
            <w:pPr>
              <w:rPr>
                <w:rFonts w:cs="Times New Roman"/>
                <w:sz w:val="18"/>
                <w:szCs w:val="18"/>
              </w:rPr>
            </w:pPr>
            <w:r>
              <w:rPr>
                <w:rFonts w:hint="eastAsia" w:cs="Times New Roman"/>
                <w:sz w:val="18"/>
                <w:szCs w:val="18"/>
              </w:rPr>
              <w:t>2、加强农业面源污染治理，严格控制化肥农药施加量，合理水产养殖布局，控制水产养殖污染，逐步削减农业面源污染物排放量。</w:t>
            </w:r>
          </w:p>
        </w:tc>
        <w:tc>
          <w:tcPr>
            <w:tcW w:w="529" w:type="pct"/>
            <w:vAlign w:val="center"/>
          </w:tcPr>
          <w:p>
            <w:pPr>
              <w:rPr>
                <w:rFonts w:cs="Times New Roman"/>
                <w:sz w:val="18"/>
                <w:szCs w:val="18"/>
              </w:rPr>
            </w:pPr>
            <w:r>
              <w:rPr>
                <w:rFonts w:hint="eastAsia" w:cs="Times New Roman"/>
                <w:sz w:val="18"/>
                <w:szCs w:val="18"/>
              </w:rPr>
              <w:t>1、加强生态公益林保护与建设，防止水土流失。</w:t>
            </w:r>
          </w:p>
          <w:p>
            <w:pPr>
              <w:rPr>
                <w:rFonts w:cs="Times New Roman"/>
                <w:sz w:val="18"/>
                <w:szCs w:val="18"/>
              </w:rPr>
            </w:pPr>
            <w:r>
              <w:rPr>
                <w:rFonts w:hint="eastAsia" w:cs="Times New Roman"/>
                <w:sz w:val="18"/>
                <w:szCs w:val="18"/>
              </w:rPr>
              <w:t>2、禁止向农用地排放重金属或者其他有毒有害物质含量超标的污水、污泥，以及可能造成土壤污染的清淤底泥、尾矿、矿渣等。</w:t>
            </w:r>
          </w:p>
          <w:p>
            <w:pPr>
              <w:rPr>
                <w:rFonts w:cs="Times New Roman"/>
                <w:sz w:val="18"/>
                <w:szCs w:val="18"/>
              </w:rPr>
            </w:pPr>
            <w:r>
              <w:rPr>
                <w:rFonts w:hint="eastAsia" w:cs="Times New Roman"/>
                <w:sz w:val="18"/>
                <w:szCs w:val="18"/>
              </w:rPr>
              <w:t>3、加强农田土壤、灌溉水的监测及评价，对周边或区域环境风险源进行评估。</w:t>
            </w:r>
          </w:p>
        </w:tc>
        <w:tc>
          <w:tcPr>
            <w:tcW w:w="495" w:type="pct"/>
            <w:vAlign w:val="center"/>
          </w:tcPr>
          <w:p>
            <w:pPr>
              <w:rPr>
                <w:rFonts w:cs="Times New Roman"/>
                <w:sz w:val="18"/>
                <w:szCs w:val="18"/>
              </w:rPr>
            </w:pPr>
            <w:r>
              <w:rPr>
                <w:rFonts w:hint="eastAsia" w:cs="Times New Roman"/>
                <w:sz w:val="18"/>
                <w:szCs w:val="18"/>
              </w:rPr>
              <w:t>1、实行水资源消耗总量和强度双控，推进农业节水，提高农业用水效率。</w:t>
            </w:r>
          </w:p>
          <w:p>
            <w:pPr>
              <w:rPr>
                <w:rFonts w:cs="Times New Roman"/>
                <w:sz w:val="18"/>
                <w:szCs w:val="18"/>
              </w:rPr>
            </w:pPr>
            <w:r>
              <w:rPr>
                <w:rFonts w:hint="eastAsia" w:cs="Times New Roman"/>
                <w:sz w:val="18"/>
                <w:szCs w:val="18"/>
              </w:rPr>
              <w:t>2、优化能源结构，加强能源清洁利用。</w:t>
            </w:r>
          </w:p>
        </w:tc>
        <w:tc>
          <w:tcPr>
            <w:tcW w:w="1188" w:type="pct"/>
            <w:vAlign w:val="center"/>
          </w:tcPr>
          <w:p>
            <w:pPr>
              <w:numPr>
                <w:ilvl w:val="0"/>
                <w:numId w:val="3"/>
              </w:numPr>
              <w:rPr>
                <w:rFonts w:cs="Times New Roman"/>
                <w:sz w:val="18"/>
                <w:szCs w:val="18"/>
              </w:rPr>
            </w:pPr>
            <w:r>
              <w:rPr>
                <w:rFonts w:hint="eastAsia" w:cs="Times New Roman"/>
                <w:sz w:val="18"/>
                <w:szCs w:val="18"/>
              </w:rPr>
              <w:t>空间布局约束符合性：符合，</w:t>
            </w:r>
            <w:r>
              <w:rPr>
                <w:rFonts w:cs="Times New Roman"/>
                <w:sz w:val="18"/>
                <w:szCs w:val="18"/>
              </w:rPr>
              <w:t>本项目属于电力基础设施工程，</w:t>
            </w:r>
            <w:r>
              <w:rPr>
                <w:rFonts w:hint="eastAsia" w:cs="Times New Roman"/>
                <w:sz w:val="18"/>
                <w:szCs w:val="18"/>
              </w:rPr>
              <w:t>属于城市基础建设项目</w:t>
            </w:r>
            <w:r>
              <w:rPr>
                <w:rFonts w:cs="Times New Roman"/>
                <w:sz w:val="18"/>
                <w:szCs w:val="18"/>
              </w:rPr>
              <w:t>，不属于环境风险防控中需要禁止或严格管控的行业</w:t>
            </w:r>
            <w:r>
              <w:rPr>
                <w:rFonts w:hint="eastAsia" w:cs="Times New Roman"/>
                <w:sz w:val="18"/>
                <w:szCs w:val="18"/>
              </w:rPr>
              <w:t>，</w:t>
            </w:r>
            <w:r>
              <w:rPr>
                <w:rFonts w:cs="Times New Roman"/>
                <w:sz w:val="18"/>
                <w:szCs w:val="18"/>
              </w:rPr>
              <w:t>不涉及污染物总量控制</w:t>
            </w:r>
            <w:r>
              <w:rPr>
                <w:rFonts w:hint="eastAsia" w:cs="Times New Roman"/>
                <w:sz w:val="18"/>
                <w:szCs w:val="18"/>
              </w:rPr>
              <w:t>；</w:t>
            </w:r>
          </w:p>
          <w:p>
            <w:pPr>
              <w:numPr>
                <w:ilvl w:val="0"/>
                <w:numId w:val="3"/>
              </w:numPr>
              <w:rPr>
                <w:rFonts w:cs="Times New Roman"/>
                <w:sz w:val="18"/>
                <w:szCs w:val="18"/>
              </w:rPr>
            </w:pPr>
            <w:r>
              <w:rPr>
                <w:rFonts w:hint="eastAsia" w:cs="Times New Roman"/>
                <w:sz w:val="18"/>
                <w:szCs w:val="18"/>
              </w:rPr>
              <w:t>污染物排放管控符合性：符合，本项目拟建输电线路</w:t>
            </w:r>
            <w:r>
              <w:rPr>
                <w:rFonts w:cs="Times New Roman"/>
                <w:kern w:val="0"/>
                <w:sz w:val="18"/>
                <w:szCs w:val="18"/>
              </w:rPr>
              <w:t>不涉及产品生产环节，施工期正常用水量较小，不存在高耗水需求</w:t>
            </w:r>
            <w:r>
              <w:rPr>
                <w:rFonts w:hint="eastAsia" w:cs="Times New Roman"/>
                <w:kern w:val="0"/>
                <w:sz w:val="18"/>
                <w:szCs w:val="18"/>
              </w:rPr>
              <w:t>，</w:t>
            </w:r>
            <w:r>
              <w:rPr>
                <w:rFonts w:cs="Times New Roman"/>
                <w:sz w:val="18"/>
                <w:szCs w:val="18"/>
              </w:rPr>
              <w:t>本项目投运后，不产生废水、废气、固废等污染物</w:t>
            </w:r>
            <w:r>
              <w:rPr>
                <w:rFonts w:hint="eastAsia" w:cs="Times New Roman"/>
                <w:sz w:val="18"/>
                <w:szCs w:val="18"/>
              </w:rPr>
              <w:t>；</w:t>
            </w:r>
          </w:p>
          <w:p>
            <w:pPr>
              <w:numPr>
                <w:ilvl w:val="0"/>
                <w:numId w:val="3"/>
              </w:numPr>
              <w:rPr>
                <w:rFonts w:cs="Times New Roman"/>
                <w:sz w:val="18"/>
                <w:szCs w:val="18"/>
              </w:rPr>
            </w:pPr>
            <w:r>
              <w:rPr>
                <w:rFonts w:cs="Times New Roman"/>
                <w:sz w:val="18"/>
                <w:szCs w:val="18"/>
              </w:rPr>
              <w:t>环境风险防控符合性：</w:t>
            </w:r>
            <w:r>
              <w:rPr>
                <w:rFonts w:hint="eastAsia" w:cs="Times New Roman"/>
                <w:sz w:val="18"/>
                <w:szCs w:val="18"/>
              </w:rPr>
              <w:t>符合，本项目为输电线路工程，</w:t>
            </w:r>
            <w:r>
              <w:rPr>
                <w:rFonts w:cs="Times New Roman"/>
                <w:sz w:val="18"/>
                <w:szCs w:val="18"/>
              </w:rPr>
              <w:t>线路运行期不</w:t>
            </w:r>
            <w:r>
              <w:rPr>
                <w:rFonts w:hint="eastAsia" w:cs="Times New Roman"/>
                <w:sz w:val="18"/>
                <w:szCs w:val="18"/>
              </w:rPr>
              <w:t>产生污水，不</w:t>
            </w:r>
            <w:r>
              <w:rPr>
                <w:rFonts w:cs="Times New Roman"/>
                <w:sz w:val="18"/>
                <w:szCs w:val="18"/>
              </w:rPr>
              <w:t>产生改变塔基附近土壤性质的化学物质，</w:t>
            </w:r>
          </w:p>
          <w:p>
            <w:pPr>
              <w:numPr>
                <w:ilvl w:val="0"/>
                <w:numId w:val="3"/>
              </w:numPr>
              <w:rPr>
                <w:rFonts w:cs="Times New Roman"/>
                <w:sz w:val="18"/>
                <w:szCs w:val="18"/>
              </w:rPr>
            </w:pPr>
            <w:r>
              <w:rPr>
                <w:rFonts w:cs="Times New Roman"/>
                <w:sz w:val="18"/>
                <w:szCs w:val="18"/>
              </w:rPr>
              <w:t>资源开发效率要求符合性：</w:t>
            </w:r>
            <w:r>
              <w:rPr>
                <w:rFonts w:hint="eastAsia" w:cs="Times New Roman"/>
                <w:sz w:val="18"/>
                <w:szCs w:val="18"/>
              </w:rPr>
              <w:t>符合，</w:t>
            </w:r>
            <w:r>
              <w:rPr>
                <w:rFonts w:cs="Times New Roman"/>
                <w:sz w:val="18"/>
                <w:szCs w:val="18"/>
              </w:rPr>
              <w:t>本</w:t>
            </w:r>
            <w:r>
              <w:rPr>
                <w:rFonts w:hint="eastAsia" w:cs="Times New Roman"/>
                <w:sz w:val="18"/>
                <w:szCs w:val="18"/>
              </w:rPr>
              <w:t>项目</w:t>
            </w:r>
            <w:r>
              <w:rPr>
                <w:rFonts w:cs="Times New Roman"/>
                <w:sz w:val="18"/>
                <w:szCs w:val="18"/>
              </w:rPr>
              <w:t>输电线路营运期不消耗水资源</w:t>
            </w:r>
            <w:r>
              <w:rPr>
                <w:rFonts w:hint="eastAsia" w:cs="Times New Roman"/>
                <w:sz w:val="18"/>
                <w:szCs w:val="18"/>
              </w:rPr>
              <w:t>。</w:t>
            </w:r>
          </w:p>
        </w:tc>
      </w:tr>
    </w:tbl>
    <w:p>
      <w:pPr>
        <w:rPr>
          <w:rFonts w:cs="Times New Roman"/>
        </w:rPr>
        <w:sectPr>
          <w:pgSz w:w="16840" w:h="11907" w:orient="landscape"/>
          <w:pgMar w:top="1134" w:right="1134" w:bottom="1134" w:left="1134" w:header="851" w:footer="992" w:gutter="0"/>
          <w:cols w:space="425" w:num="1"/>
          <w:docGrid w:type="lines" w:linePitch="312" w:charSpace="0"/>
        </w:sectPr>
      </w:pPr>
    </w:p>
    <w:p>
      <w:pPr>
        <w:pStyle w:val="3"/>
        <w:rPr>
          <w:color w:val="auto"/>
        </w:rPr>
      </w:pPr>
      <w:bookmarkStart w:id="6" w:name="_Toc103786367"/>
      <w:r>
        <w:rPr>
          <w:color w:val="auto"/>
        </w:rPr>
        <w:t>二、建设内容</w:t>
      </w:r>
      <w:bookmarkEnd w:id="6"/>
    </w:p>
    <w:tbl>
      <w:tblPr>
        <w:tblStyle w:val="25"/>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557"/>
        <w:gridCol w:w="85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497" w:hRule="atLeast"/>
          <w:jc w:val="center"/>
        </w:trPr>
        <w:tc>
          <w:tcPr>
            <w:tcW w:w="557" w:type="dxa"/>
            <w:vAlign w:val="center"/>
          </w:tcPr>
          <w:p>
            <w:pPr>
              <w:adjustRightInd w:val="0"/>
              <w:snapToGrid w:val="0"/>
              <w:jc w:val="center"/>
              <w:rPr>
                <w:rFonts w:eastAsia="黑体" w:cs="Times New Roman"/>
                <w:kern w:val="0"/>
                <w:szCs w:val="21"/>
              </w:rPr>
            </w:pPr>
            <w:r>
              <w:rPr>
                <w:rFonts w:eastAsia="黑体" w:cs="Times New Roman"/>
                <w:kern w:val="0"/>
                <w:szCs w:val="21"/>
              </w:rPr>
              <w:t>地理位置</w:t>
            </w:r>
          </w:p>
        </w:tc>
        <w:tc>
          <w:tcPr>
            <w:tcW w:w="8533" w:type="dxa"/>
            <w:vAlign w:val="center"/>
          </w:tcPr>
          <w:p>
            <w:pPr>
              <w:spacing w:line="360" w:lineRule="auto"/>
              <w:ind w:firstLine="420" w:firstLineChars="200"/>
              <w:rPr>
                <w:rFonts w:cs="Times New Roman"/>
                <w:szCs w:val="21"/>
              </w:rPr>
            </w:pPr>
            <w:r>
              <w:rPr>
                <w:rFonts w:hint="eastAsia" w:cs="Times New Roman"/>
                <w:szCs w:val="21"/>
              </w:rPr>
              <w:t>杭州机场高铁工程涉及输电线路改迁工程110kV民盐1292线20#-22#改迁工程</w:t>
            </w:r>
            <w:r>
              <w:rPr>
                <w:rFonts w:cs="Times New Roman"/>
                <w:szCs w:val="21"/>
              </w:rPr>
              <w:t>位于浙江省</w:t>
            </w:r>
            <w:r>
              <w:rPr>
                <w:rFonts w:hint="eastAsia" w:cs="Times New Roman"/>
                <w:szCs w:val="21"/>
              </w:rPr>
              <w:t>海宁市周王庙镇</w:t>
            </w:r>
            <w:r>
              <w:rPr>
                <w:rFonts w:cs="Times New Roman"/>
                <w:szCs w:val="21"/>
              </w:rPr>
              <w:t>。</w:t>
            </w:r>
          </w:p>
          <w:p>
            <w:pPr>
              <w:spacing w:line="360" w:lineRule="auto"/>
              <w:ind w:firstLine="420" w:firstLineChars="200"/>
              <w:rPr>
                <w:rFonts w:cs="Times New Roman"/>
                <w:szCs w:val="21"/>
              </w:rPr>
            </w:pPr>
            <w:r>
              <w:rPr>
                <w:rFonts w:cs="Times New Roman"/>
                <w:szCs w:val="21"/>
              </w:rPr>
              <w:t>项目地理位置图见附图2。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497" w:hRule="atLeast"/>
          <w:jc w:val="center"/>
        </w:trPr>
        <w:tc>
          <w:tcPr>
            <w:tcW w:w="557" w:type="dxa"/>
            <w:vAlign w:val="center"/>
          </w:tcPr>
          <w:p>
            <w:pPr>
              <w:adjustRightInd w:val="0"/>
              <w:snapToGrid w:val="0"/>
              <w:jc w:val="center"/>
              <w:rPr>
                <w:rFonts w:eastAsia="黑体" w:cs="Times New Roman"/>
                <w:kern w:val="0"/>
                <w:szCs w:val="21"/>
              </w:rPr>
            </w:pPr>
            <w:r>
              <w:rPr>
                <w:rFonts w:eastAsia="黑体" w:cs="Times New Roman"/>
                <w:kern w:val="0"/>
                <w:szCs w:val="21"/>
              </w:rPr>
              <w:t>项目组成及</w:t>
            </w:r>
          </w:p>
          <w:p>
            <w:pPr>
              <w:adjustRightInd w:val="0"/>
              <w:snapToGrid w:val="0"/>
              <w:jc w:val="center"/>
              <w:rPr>
                <w:rFonts w:eastAsia="黑体" w:cs="Times New Roman"/>
                <w:kern w:val="0"/>
                <w:szCs w:val="21"/>
              </w:rPr>
            </w:pPr>
            <w:r>
              <w:rPr>
                <w:rFonts w:eastAsia="黑体" w:cs="Times New Roman"/>
                <w:kern w:val="0"/>
                <w:szCs w:val="21"/>
              </w:rPr>
              <w:t>规模</w:t>
            </w:r>
          </w:p>
        </w:tc>
        <w:tc>
          <w:tcPr>
            <w:tcW w:w="8533" w:type="dxa"/>
            <w:vAlign w:val="center"/>
          </w:tcPr>
          <w:p>
            <w:pPr>
              <w:keepLines/>
              <w:numPr>
                <w:ilvl w:val="0"/>
                <w:numId w:val="4"/>
              </w:numPr>
              <w:spacing w:line="360" w:lineRule="auto"/>
              <w:outlineLvl w:val="1"/>
              <w:rPr>
                <w:rFonts w:eastAsia="黑体" w:cs="Times New Roman"/>
                <w:bCs/>
                <w:szCs w:val="32"/>
              </w:rPr>
            </w:pPr>
            <w:r>
              <w:rPr>
                <w:rFonts w:eastAsia="黑体" w:cs="Times New Roman"/>
                <w:bCs/>
                <w:szCs w:val="32"/>
              </w:rPr>
              <w:t>项目组成及规模</w:t>
            </w:r>
          </w:p>
          <w:p>
            <w:pPr>
              <w:pStyle w:val="5"/>
              <w:numPr>
                <w:ilvl w:val="1"/>
                <w:numId w:val="4"/>
              </w:numPr>
              <w:rPr>
                <w:color w:val="auto"/>
              </w:rPr>
            </w:pPr>
            <w:r>
              <w:rPr>
                <w:color w:val="auto"/>
              </w:rPr>
              <w:t>主体工程</w:t>
            </w:r>
          </w:p>
          <w:p>
            <w:pPr>
              <w:spacing w:line="360" w:lineRule="auto"/>
              <w:ind w:firstLine="420" w:firstLineChars="200"/>
              <w:rPr>
                <w:rFonts w:cs="Times New Roman"/>
                <w:szCs w:val="21"/>
              </w:rPr>
            </w:pPr>
            <w:r>
              <w:rPr>
                <w:rFonts w:hint="eastAsia" w:cs="Times New Roman"/>
                <w:szCs w:val="21"/>
              </w:rPr>
              <w:t>因</w:t>
            </w:r>
            <w:r>
              <w:rPr>
                <w:rFonts w:cs="Times New Roman"/>
                <w:szCs w:val="21"/>
              </w:rPr>
              <w:t>110kV</w:t>
            </w:r>
            <w:r>
              <w:rPr>
                <w:rFonts w:hint="eastAsia" w:cs="Times New Roman"/>
                <w:szCs w:val="21"/>
              </w:rPr>
              <w:t>民盐</w:t>
            </w:r>
            <w:r>
              <w:rPr>
                <w:rFonts w:cs="Times New Roman"/>
                <w:szCs w:val="21"/>
              </w:rPr>
              <w:t>1292</w:t>
            </w:r>
            <w:r>
              <w:rPr>
                <w:rFonts w:hint="eastAsia" w:cs="Times New Roman"/>
                <w:szCs w:val="21"/>
              </w:rPr>
              <w:t>线</w:t>
            </w:r>
            <w:r>
              <w:rPr>
                <w:rFonts w:cs="Times New Roman"/>
                <w:szCs w:val="21"/>
              </w:rPr>
              <w:t>20#-22#</w:t>
            </w:r>
            <w:r>
              <w:rPr>
                <w:rFonts w:hint="eastAsia" w:cs="Times New Roman"/>
                <w:szCs w:val="21"/>
              </w:rPr>
              <w:t>与规划建设的铁路杭州萧山机场站枢纽及接线工程存在交跨，距离不满足规范要求，需将现有线路进行改迁，以保障高铁项目的顺利实施。</w:t>
            </w:r>
          </w:p>
          <w:p>
            <w:pPr>
              <w:spacing w:line="360" w:lineRule="auto"/>
              <w:ind w:firstLine="420" w:firstLineChars="200"/>
              <w:rPr>
                <w:rFonts w:cs="Times New Roman"/>
                <w:szCs w:val="21"/>
              </w:rPr>
            </w:pPr>
            <w:r>
              <w:rPr>
                <w:rFonts w:hint="eastAsia" w:cs="Times New Roman"/>
                <w:szCs w:val="21"/>
              </w:rPr>
              <w:t>原110kV民盐20#塔小号侧新建1#终端塔，线路沿规划杭州机场高铁西侧往南架线，跨过杭州机场高铁后，线路右转于原110kV民盐22#塔大号侧新建4#终端塔接回原线路。新建1</w:t>
            </w:r>
            <w:r>
              <w:rPr>
                <w:rFonts w:cs="Times New Roman"/>
                <w:szCs w:val="21"/>
              </w:rPr>
              <w:t>10</w:t>
            </w:r>
            <w:r>
              <w:rPr>
                <w:rFonts w:hint="eastAsia" w:cs="Times New Roman"/>
                <w:szCs w:val="21"/>
              </w:rPr>
              <w:t>双回架空线路0</w:t>
            </w:r>
            <w:r>
              <w:rPr>
                <w:rFonts w:cs="Times New Roman"/>
                <w:szCs w:val="21"/>
              </w:rPr>
              <w:t>.7</w:t>
            </w:r>
            <w:r>
              <w:rPr>
                <w:rFonts w:hint="eastAsia" w:cs="Times New Roman"/>
                <w:szCs w:val="21"/>
              </w:rPr>
              <w:t>km，新建1</w:t>
            </w:r>
            <w:r>
              <w:rPr>
                <w:rFonts w:cs="Times New Roman"/>
                <w:szCs w:val="21"/>
              </w:rPr>
              <w:t>10</w:t>
            </w:r>
            <w:r>
              <w:rPr>
                <w:rFonts w:hint="eastAsia" w:cs="Times New Roman"/>
                <w:szCs w:val="21"/>
              </w:rPr>
              <w:t>单回架空线路0</w:t>
            </w:r>
            <w:r>
              <w:rPr>
                <w:rFonts w:cs="Times New Roman"/>
                <w:szCs w:val="21"/>
              </w:rPr>
              <w:t>.12</w:t>
            </w:r>
            <w:r>
              <w:rPr>
                <w:rFonts w:hint="eastAsia" w:cs="Times New Roman"/>
                <w:szCs w:val="21"/>
              </w:rPr>
              <w:t>km，新建双回路杆塔4基，拆除原线路长度0.</w:t>
            </w:r>
            <w:r>
              <w:rPr>
                <w:rFonts w:cs="Times New Roman"/>
                <w:szCs w:val="21"/>
              </w:rPr>
              <w:t>7</w:t>
            </w:r>
            <w:r>
              <w:rPr>
                <w:rFonts w:hint="eastAsia" w:cs="Times New Roman"/>
                <w:szCs w:val="21"/>
              </w:rPr>
              <w:t>km，拆除铁塔3基。</w:t>
            </w:r>
          </w:p>
          <w:p>
            <w:pPr>
              <w:spacing w:line="360" w:lineRule="auto"/>
              <w:ind w:firstLine="420" w:firstLineChars="200"/>
              <w:rPr>
                <w:rFonts w:cs="Times New Roman"/>
                <w:szCs w:val="21"/>
              </w:rPr>
            </w:pPr>
            <w:r>
              <w:rPr>
                <w:rFonts w:hint="eastAsia" w:cs="Times New Roman"/>
                <w:szCs w:val="21"/>
              </w:rPr>
              <w:t>杭州机场高铁工程涉及输电线路改迁工程110kV民盐1292线20#-22#改迁工程</w:t>
            </w:r>
            <w:r>
              <w:rPr>
                <w:rFonts w:cs="Times New Roman"/>
                <w:szCs w:val="21"/>
              </w:rPr>
              <w:t>组成及建设规模详见表2.1-1。</w:t>
            </w:r>
          </w:p>
          <w:p>
            <w:pPr>
              <w:pStyle w:val="2"/>
              <w:jc w:val="center"/>
            </w:pPr>
            <w:r>
              <w:rPr>
                <w:rFonts w:hint="eastAsia"/>
                <w:sz w:val="28"/>
                <w:szCs w:val="28"/>
              </w:rPr>
              <w:drawing>
                <wp:inline distT="0" distB="0" distL="0" distR="0">
                  <wp:extent cx="4096385" cy="1619885"/>
                  <wp:effectExtent l="0" t="0" r="0" b="0"/>
                  <wp:docPr id="7588313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31310" name="图片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4096731" cy="1620000"/>
                          </a:xfrm>
                          <a:prstGeom prst="rect">
                            <a:avLst/>
                          </a:prstGeom>
                          <a:noFill/>
                          <a:ln>
                            <a:noFill/>
                          </a:ln>
                        </pic:spPr>
                      </pic:pic>
                    </a:graphicData>
                  </a:graphic>
                </wp:inline>
              </w:drawing>
            </w:r>
          </w:p>
          <w:p>
            <w:pPr>
              <w:pStyle w:val="53"/>
              <w:rPr>
                <w:szCs w:val="18"/>
              </w:rPr>
            </w:pPr>
            <w:r>
              <w:rPr>
                <w:szCs w:val="18"/>
              </w:rPr>
              <w:t xml:space="preserve">表2.1-1 </w:t>
            </w:r>
            <w:r>
              <w:rPr>
                <w:rFonts w:hint="eastAsia"/>
                <w:szCs w:val="18"/>
              </w:rPr>
              <w:t>工程</w:t>
            </w:r>
            <w:r>
              <w:rPr>
                <w:szCs w:val="18"/>
              </w:rPr>
              <w:t>组成及建设规模一览表</w:t>
            </w:r>
          </w:p>
          <w:tbl>
            <w:tblPr>
              <w:tblStyle w:val="25"/>
              <w:tblW w:w="821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93"/>
              <w:gridCol w:w="464"/>
              <w:gridCol w:w="1060"/>
              <w:gridCol w:w="540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293" w:type="dxa"/>
                  <w:vAlign w:val="center"/>
                </w:tcPr>
                <w:p>
                  <w:pPr>
                    <w:jc w:val="center"/>
                    <w:rPr>
                      <w:rFonts w:cs="Times New Roman"/>
                      <w:sz w:val="18"/>
                      <w:szCs w:val="18"/>
                    </w:rPr>
                  </w:pPr>
                  <w:r>
                    <w:rPr>
                      <w:rFonts w:cs="Times New Roman"/>
                      <w:sz w:val="18"/>
                      <w:szCs w:val="18"/>
                    </w:rPr>
                    <w:t>工程名称</w:t>
                  </w:r>
                </w:p>
              </w:tc>
              <w:tc>
                <w:tcPr>
                  <w:tcW w:w="464" w:type="dxa"/>
                  <w:vAlign w:val="center"/>
                </w:tcPr>
                <w:p>
                  <w:pPr>
                    <w:jc w:val="center"/>
                    <w:rPr>
                      <w:rFonts w:cs="Times New Roman"/>
                      <w:sz w:val="18"/>
                      <w:szCs w:val="18"/>
                    </w:rPr>
                  </w:pPr>
                  <w:r>
                    <w:rPr>
                      <w:rFonts w:cs="Times New Roman"/>
                      <w:sz w:val="18"/>
                      <w:szCs w:val="18"/>
                    </w:rPr>
                    <w:t>性质</w:t>
                  </w:r>
                </w:p>
              </w:tc>
              <w:tc>
                <w:tcPr>
                  <w:tcW w:w="6460" w:type="dxa"/>
                  <w:gridSpan w:val="2"/>
                  <w:vAlign w:val="center"/>
                </w:tcPr>
                <w:p>
                  <w:pPr>
                    <w:jc w:val="center"/>
                    <w:rPr>
                      <w:rFonts w:cs="Times New Roman"/>
                      <w:sz w:val="18"/>
                      <w:szCs w:val="18"/>
                      <w:highlight w:val="yellow"/>
                    </w:rPr>
                  </w:pPr>
                  <w:r>
                    <w:rPr>
                      <w:rFonts w:cs="Times New Roman"/>
                      <w:sz w:val="18"/>
                      <w:szCs w:val="18"/>
                    </w:rPr>
                    <w:t>工程名称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293" w:type="dxa"/>
                  <w:vMerge w:val="restart"/>
                  <w:vAlign w:val="center"/>
                </w:tcPr>
                <w:p>
                  <w:pPr>
                    <w:jc w:val="center"/>
                    <w:rPr>
                      <w:rFonts w:cs="Times New Roman"/>
                      <w:sz w:val="18"/>
                      <w:szCs w:val="18"/>
                    </w:rPr>
                  </w:pPr>
                  <w:r>
                    <w:rPr>
                      <w:rFonts w:hint="eastAsia" w:cs="Times New Roman"/>
                      <w:sz w:val="18"/>
                      <w:szCs w:val="18"/>
                    </w:rPr>
                    <w:t>杭州机场高铁工程涉及输电线路改迁工程110kV民盐1292线20#-22#改迁工程</w:t>
                  </w:r>
                </w:p>
              </w:tc>
              <w:tc>
                <w:tcPr>
                  <w:tcW w:w="464" w:type="dxa"/>
                  <w:vMerge w:val="restart"/>
                  <w:vAlign w:val="center"/>
                </w:tcPr>
                <w:p>
                  <w:pPr>
                    <w:jc w:val="center"/>
                    <w:rPr>
                      <w:rFonts w:cs="Times New Roman"/>
                      <w:sz w:val="18"/>
                      <w:szCs w:val="18"/>
                    </w:rPr>
                  </w:pPr>
                  <w:r>
                    <w:rPr>
                      <w:rFonts w:hint="eastAsia" w:cs="Times New Roman"/>
                      <w:sz w:val="18"/>
                      <w:szCs w:val="18"/>
                    </w:rPr>
                    <w:t>改</w:t>
                  </w:r>
                  <w:r>
                    <w:rPr>
                      <w:rFonts w:cs="Times New Roman"/>
                      <w:sz w:val="18"/>
                      <w:szCs w:val="18"/>
                    </w:rPr>
                    <w:t>建</w:t>
                  </w:r>
                </w:p>
              </w:tc>
              <w:tc>
                <w:tcPr>
                  <w:tcW w:w="1060" w:type="dxa"/>
                  <w:vAlign w:val="center"/>
                </w:tcPr>
                <w:p>
                  <w:pPr>
                    <w:jc w:val="center"/>
                    <w:rPr>
                      <w:rFonts w:cs="Times New Roman"/>
                      <w:sz w:val="18"/>
                      <w:szCs w:val="18"/>
                    </w:rPr>
                  </w:pPr>
                  <w:r>
                    <w:rPr>
                      <w:rFonts w:cs="Times New Roman"/>
                      <w:sz w:val="18"/>
                      <w:szCs w:val="18"/>
                    </w:rPr>
                    <w:t>地理位置</w:t>
                  </w:r>
                </w:p>
              </w:tc>
              <w:tc>
                <w:tcPr>
                  <w:tcW w:w="5400" w:type="dxa"/>
                  <w:vAlign w:val="center"/>
                </w:tcPr>
                <w:p>
                  <w:pPr>
                    <w:jc w:val="center"/>
                    <w:rPr>
                      <w:rFonts w:cs="Times New Roman"/>
                      <w:sz w:val="18"/>
                      <w:szCs w:val="18"/>
                      <w:highlight w:val="yellow"/>
                    </w:rPr>
                  </w:pPr>
                  <w:r>
                    <w:rPr>
                      <w:rFonts w:hint="eastAsia" w:cs="Times New Roman"/>
                      <w:sz w:val="18"/>
                      <w:szCs w:val="18"/>
                    </w:rPr>
                    <w:t>浙江省海宁市周王庙镇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293" w:type="dxa"/>
                  <w:vMerge w:val="continue"/>
                  <w:vAlign w:val="center"/>
                </w:tcPr>
                <w:p>
                  <w:pPr>
                    <w:jc w:val="center"/>
                    <w:rPr>
                      <w:rFonts w:cs="Times New Roman"/>
                      <w:sz w:val="18"/>
                      <w:szCs w:val="18"/>
                    </w:rPr>
                  </w:pPr>
                </w:p>
              </w:tc>
              <w:tc>
                <w:tcPr>
                  <w:tcW w:w="464" w:type="dxa"/>
                  <w:vMerge w:val="continue"/>
                  <w:vAlign w:val="center"/>
                </w:tcPr>
                <w:p>
                  <w:pPr>
                    <w:jc w:val="center"/>
                    <w:rPr>
                      <w:rFonts w:cs="Times New Roman"/>
                      <w:sz w:val="18"/>
                      <w:szCs w:val="18"/>
                    </w:rPr>
                  </w:pPr>
                </w:p>
              </w:tc>
              <w:tc>
                <w:tcPr>
                  <w:tcW w:w="1060" w:type="dxa"/>
                  <w:vAlign w:val="center"/>
                </w:tcPr>
                <w:p>
                  <w:pPr>
                    <w:jc w:val="center"/>
                    <w:rPr>
                      <w:rFonts w:cs="Times New Roman"/>
                      <w:sz w:val="18"/>
                      <w:szCs w:val="18"/>
                    </w:rPr>
                  </w:pPr>
                  <w:r>
                    <w:rPr>
                      <w:rFonts w:cs="Times New Roman"/>
                      <w:sz w:val="18"/>
                      <w:szCs w:val="18"/>
                    </w:rPr>
                    <w:t>建设规模</w:t>
                  </w:r>
                </w:p>
              </w:tc>
              <w:tc>
                <w:tcPr>
                  <w:tcW w:w="5400" w:type="dxa"/>
                  <w:vAlign w:val="center"/>
                </w:tcPr>
                <w:p>
                  <w:pPr>
                    <w:rPr>
                      <w:rFonts w:cs="Times New Roman"/>
                      <w:sz w:val="18"/>
                      <w:szCs w:val="18"/>
                      <w:highlight w:val="yellow"/>
                    </w:rPr>
                  </w:pPr>
                  <w:r>
                    <w:rPr>
                      <w:rFonts w:hint="eastAsia" w:cs="Times New Roman"/>
                      <w:sz w:val="18"/>
                      <w:szCs w:val="18"/>
                    </w:rPr>
                    <w:t>新建110双回架空线路0.7km，新建110单回架空线路0.12km，新建双回路杆塔4基。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293" w:type="dxa"/>
                  <w:vMerge w:val="continue"/>
                  <w:vAlign w:val="center"/>
                </w:tcPr>
                <w:p>
                  <w:pPr>
                    <w:jc w:val="center"/>
                    <w:rPr>
                      <w:rFonts w:cs="Times New Roman"/>
                      <w:sz w:val="18"/>
                      <w:szCs w:val="18"/>
                    </w:rPr>
                  </w:pPr>
                </w:p>
              </w:tc>
              <w:tc>
                <w:tcPr>
                  <w:tcW w:w="464" w:type="dxa"/>
                  <w:vMerge w:val="continue"/>
                  <w:vAlign w:val="center"/>
                </w:tcPr>
                <w:p>
                  <w:pPr>
                    <w:jc w:val="center"/>
                    <w:rPr>
                      <w:rFonts w:cs="Times New Roman"/>
                      <w:sz w:val="18"/>
                      <w:szCs w:val="18"/>
                    </w:rPr>
                  </w:pPr>
                </w:p>
              </w:tc>
              <w:tc>
                <w:tcPr>
                  <w:tcW w:w="1060" w:type="dxa"/>
                  <w:vAlign w:val="center"/>
                </w:tcPr>
                <w:p>
                  <w:pPr>
                    <w:jc w:val="center"/>
                    <w:rPr>
                      <w:rFonts w:cs="Times New Roman"/>
                      <w:sz w:val="18"/>
                      <w:szCs w:val="18"/>
                    </w:rPr>
                  </w:pPr>
                  <w:r>
                    <w:rPr>
                      <w:rFonts w:hint="eastAsia" w:cs="Times New Roman"/>
                      <w:sz w:val="18"/>
                      <w:szCs w:val="18"/>
                    </w:rPr>
                    <w:t>拆除工程</w:t>
                  </w:r>
                </w:p>
              </w:tc>
              <w:tc>
                <w:tcPr>
                  <w:tcW w:w="5400" w:type="dxa"/>
                  <w:vAlign w:val="center"/>
                </w:tcPr>
                <w:p>
                  <w:pPr>
                    <w:rPr>
                      <w:rFonts w:cs="Times New Roman"/>
                      <w:sz w:val="18"/>
                      <w:szCs w:val="18"/>
                    </w:rPr>
                  </w:pPr>
                  <w:r>
                    <w:rPr>
                      <w:rFonts w:hint="eastAsia" w:cs="Times New Roman"/>
                      <w:sz w:val="18"/>
                      <w:szCs w:val="18"/>
                    </w:rPr>
                    <w:t>拆除原线路长度0.</w:t>
                  </w:r>
                  <w:r>
                    <w:rPr>
                      <w:rFonts w:cs="Times New Roman"/>
                      <w:sz w:val="18"/>
                      <w:szCs w:val="18"/>
                    </w:rPr>
                    <w:t>7</w:t>
                  </w:r>
                  <w:r>
                    <w:rPr>
                      <w:rFonts w:hint="eastAsia" w:cs="Times New Roman"/>
                      <w:sz w:val="18"/>
                      <w:szCs w:val="18"/>
                    </w:rPr>
                    <w:t>1km，拆除铁塔3基。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293" w:type="dxa"/>
                  <w:vMerge w:val="continue"/>
                  <w:vAlign w:val="center"/>
                </w:tcPr>
                <w:p>
                  <w:pPr>
                    <w:jc w:val="center"/>
                    <w:rPr>
                      <w:rFonts w:cs="Times New Roman"/>
                      <w:sz w:val="18"/>
                      <w:szCs w:val="18"/>
                    </w:rPr>
                  </w:pPr>
                </w:p>
              </w:tc>
              <w:tc>
                <w:tcPr>
                  <w:tcW w:w="464" w:type="dxa"/>
                  <w:vMerge w:val="continue"/>
                  <w:vAlign w:val="center"/>
                </w:tcPr>
                <w:p>
                  <w:pPr>
                    <w:jc w:val="center"/>
                    <w:rPr>
                      <w:rFonts w:cs="Times New Roman"/>
                      <w:sz w:val="18"/>
                      <w:szCs w:val="18"/>
                    </w:rPr>
                  </w:pPr>
                </w:p>
              </w:tc>
              <w:tc>
                <w:tcPr>
                  <w:tcW w:w="1060" w:type="dxa"/>
                  <w:vAlign w:val="center"/>
                </w:tcPr>
                <w:p>
                  <w:pPr>
                    <w:jc w:val="center"/>
                    <w:rPr>
                      <w:rFonts w:cs="Times New Roman"/>
                      <w:sz w:val="18"/>
                      <w:szCs w:val="18"/>
                    </w:rPr>
                  </w:pPr>
                  <w:r>
                    <w:rPr>
                      <w:rFonts w:cs="Times New Roman"/>
                      <w:sz w:val="18"/>
                      <w:szCs w:val="18"/>
                    </w:rPr>
                    <w:t>导线型号</w:t>
                  </w:r>
                </w:p>
              </w:tc>
              <w:tc>
                <w:tcPr>
                  <w:tcW w:w="5400" w:type="dxa"/>
                  <w:vAlign w:val="center"/>
                </w:tcPr>
                <w:p>
                  <w:pPr>
                    <w:rPr>
                      <w:rFonts w:cs="Times New Roman"/>
                      <w:sz w:val="18"/>
                      <w:szCs w:val="18"/>
                    </w:rPr>
                  </w:pPr>
                  <w:r>
                    <w:rPr>
                      <w:rFonts w:hint="eastAsia" w:cs="Times New Roman"/>
                      <w:sz w:val="18"/>
                      <w:szCs w:val="18"/>
                    </w:rPr>
                    <w:t>拟建架空线路</w:t>
                  </w:r>
                  <w:r>
                    <w:rPr>
                      <w:rFonts w:cs="Times New Roman"/>
                      <w:sz w:val="18"/>
                      <w:szCs w:val="18"/>
                    </w:rPr>
                    <w:t>导线采用JL/G1A-</w:t>
                  </w:r>
                  <w:r>
                    <w:rPr>
                      <w:rFonts w:hint="eastAsia" w:cs="Times New Roman"/>
                      <w:sz w:val="18"/>
                      <w:szCs w:val="18"/>
                    </w:rPr>
                    <w:t>30</w:t>
                  </w:r>
                  <w:r>
                    <w:rPr>
                      <w:rFonts w:cs="Times New Roman"/>
                      <w:sz w:val="18"/>
                      <w:szCs w:val="18"/>
                    </w:rPr>
                    <w:t>0/</w:t>
                  </w:r>
                  <w:r>
                    <w:rPr>
                      <w:rFonts w:hint="eastAsia" w:cs="Times New Roman"/>
                      <w:sz w:val="18"/>
                      <w:szCs w:val="18"/>
                    </w:rPr>
                    <w:t>25</w:t>
                  </w:r>
                  <w:r>
                    <w:rPr>
                      <w:rFonts w:cs="Times New Roman"/>
                      <w:sz w:val="18"/>
                      <w:szCs w:val="18"/>
                    </w:rPr>
                    <w:t>钢芯铝绞线，地线采用两根</w:t>
                  </w:r>
                  <w:r>
                    <w:rPr>
                      <w:rFonts w:hint="eastAsia" w:cs="Times New Roman"/>
                      <w:sz w:val="18"/>
                      <w:szCs w:val="18"/>
                    </w:rPr>
                    <w:t>48</w:t>
                  </w:r>
                  <w:r>
                    <w:rPr>
                      <w:rFonts w:cs="Times New Roman"/>
                      <w:sz w:val="18"/>
                      <w:szCs w:val="18"/>
                    </w:rPr>
                    <w:t>芯OPGW。</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293" w:type="dxa"/>
                  <w:vMerge w:val="continue"/>
                  <w:vAlign w:val="center"/>
                </w:tcPr>
                <w:p>
                  <w:pPr>
                    <w:jc w:val="center"/>
                    <w:rPr>
                      <w:rFonts w:cs="Times New Roman"/>
                      <w:sz w:val="18"/>
                      <w:szCs w:val="18"/>
                    </w:rPr>
                  </w:pPr>
                </w:p>
              </w:tc>
              <w:tc>
                <w:tcPr>
                  <w:tcW w:w="464" w:type="dxa"/>
                  <w:vMerge w:val="continue"/>
                  <w:vAlign w:val="center"/>
                </w:tcPr>
                <w:p>
                  <w:pPr>
                    <w:jc w:val="center"/>
                    <w:rPr>
                      <w:rFonts w:cs="Times New Roman"/>
                      <w:sz w:val="18"/>
                      <w:szCs w:val="18"/>
                    </w:rPr>
                  </w:pPr>
                </w:p>
              </w:tc>
              <w:tc>
                <w:tcPr>
                  <w:tcW w:w="1060" w:type="dxa"/>
                  <w:vAlign w:val="center"/>
                </w:tcPr>
                <w:p>
                  <w:pPr>
                    <w:jc w:val="center"/>
                    <w:rPr>
                      <w:rFonts w:cs="Times New Roman"/>
                      <w:sz w:val="18"/>
                      <w:szCs w:val="18"/>
                    </w:rPr>
                  </w:pPr>
                  <w:r>
                    <w:rPr>
                      <w:rFonts w:hint="eastAsia" w:cs="Times New Roman"/>
                      <w:sz w:val="18"/>
                      <w:szCs w:val="18"/>
                    </w:rPr>
                    <w:t>杆塔类型</w:t>
                  </w:r>
                </w:p>
              </w:tc>
              <w:tc>
                <w:tcPr>
                  <w:tcW w:w="5400" w:type="dxa"/>
                  <w:vAlign w:val="center"/>
                </w:tcPr>
                <w:p>
                  <w:pPr>
                    <w:rPr>
                      <w:rFonts w:cs="Times New Roman"/>
                      <w:sz w:val="18"/>
                      <w:szCs w:val="18"/>
                    </w:rPr>
                  </w:pPr>
                  <w:r>
                    <w:rPr>
                      <w:rFonts w:hint="eastAsia" w:cs="Times New Roman"/>
                      <w:sz w:val="18"/>
                      <w:szCs w:val="18"/>
                    </w:rPr>
                    <w:t>1D5-SDJC1,1SKGT，SJK32。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293" w:type="dxa"/>
                  <w:vMerge w:val="continue"/>
                  <w:vAlign w:val="center"/>
                </w:tcPr>
                <w:p>
                  <w:pPr>
                    <w:jc w:val="center"/>
                    <w:rPr>
                      <w:rFonts w:cs="Times New Roman"/>
                      <w:sz w:val="18"/>
                      <w:szCs w:val="18"/>
                    </w:rPr>
                  </w:pPr>
                </w:p>
              </w:tc>
              <w:tc>
                <w:tcPr>
                  <w:tcW w:w="464" w:type="dxa"/>
                  <w:vMerge w:val="continue"/>
                  <w:vAlign w:val="center"/>
                </w:tcPr>
                <w:p>
                  <w:pPr>
                    <w:jc w:val="center"/>
                    <w:rPr>
                      <w:rFonts w:cs="Times New Roman"/>
                      <w:sz w:val="18"/>
                      <w:szCs w:val="18"/>
                    </w:rPr>
                  </w:pPr>
                </w:p>
              </w:tc>
              <w:tc>
                <w:tcPr>
                  <w:tcW w:w="1060" w:type="dxa"/>
                  <w:vAlign w:val="center"/>
                </w:tcPr>
                <w:p>
                  <w:pPr>
                    <w:jc w:val="center"/>
                    <w:rPr>
                      <w:rFonts w:cs="Times New Roman"/>
                      <w:sz w:val="18"/>
                      <w:szCs w:val="18"/>
                    </w:rPr>
                  </w:pPr>
                  <w:r>
                    <w:rPr>
                      <w:rFonts w:hint="eastAsia" w:cs="Times New Roman"/>
                      <w:sz w:val="18"/>
                      <w:szCs w:val="18"/>
                    </w:rPr>
                    <w:t>基础形式</w:t>
                  </w:r>
                </w:p>
              </w:tc>
              <w:tc>
                <w:tcPr>
                  <w:tcW w:w="5400" w:type="dxa"/>
                  <w:vAlign w:val="center"/>
                </w:tcPr>
                <w:p>
                  <w:pPr>
                    <w:rPr>
                      <w:rFonts w:cs="Times New Roman"/>
                      <w:sz w:val="18"/>
                      <w:szCs w:val="18"/>
                    </w:rPr>
                  </w:pPr>
                  <w:r>
                    <w:rPr>
                      <w:rFonts w:hint="eastAsia" w:cs="Times New Roman"/>
                      <w:sz w:val="18"/>
                      <w:szCs w:val="18"/>
                    </w:rPr>
                    <w:t>灌注桩基础,板式基础。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293" w:type="dxa"/>
                  <w:vMerge w:val="continue"/>
                  <w:vAlign w:val="center"/>
                </w:tcPr>
                <w:p>
                  <w:pPr>
                    <w:jc w:val="center"/>
                    <w:rPr>
                      <w:rFonts w:cs="Times New Roman"/>
                      <w:sz w:val="18"/>
                      <w:szCs w:val="18"/>
                    </w:rPr>
                  </w:pPr>
                </w:p>
              </w:tc>
              <w:tc>
                <w:tcPr>
                  <w:tcW w:w="464" w:type="dxa"/>
                  <w:vMerge w:val="continue"/>
                  <w:vAlign w:val="center"/>
                </w:tcPr>
                <w:p>
                  <w:pPr>
                    <w:jc w:val="center"/>
                    <w:rPr>
                      <w:rFonts w:cs="Times New Roman"/>
                      <w:sz w:val="18"/>
                      <w:szCs w:val="18"/>
                    </w:rPr>
                  </w:pPr>
                </w:p>
              </w:tc>
              <w:tc>
                <w:tcPr>
                  <w:tcW w:w="1060" w:type="dxa"/>
                  <w:vAlign w:val="center"/>
                </w:tcPr>
                <w:p>
                  <w:pPr>
                    <w:jc w:val="center"/>
                    <w:rPr>
                      <w:rFonts w:cs="Times New Roman"/>
                      <w:sz w:val="18"/>
                      <w:szCs w:val="18"/>
                    </w:rPr>
                  </w:pPr>
                  <w:r>
                    <w:rPr>
                      <w:rFonts w:hint="eastAsia" w:cs="Times New Roman"/>
                      <w:sz w:val="18"/>
                      <w:szCs w:val="18"/>
                    </w:rPr>
                    <w:t>工程占地</w:t>
                  </w:r>
                </w:p>
              </w:tc>
              <w:tc>
                <w:tcPr>
                  <w:tcW w:w="5400" w:type="dxa"/>
                  <w:vAlign w:val="center"/>
                </w:tcPr>
                <w:p>
                  <w:pPr>
                    <w:rPr>
                      <w:rFonts w:cs="Times New Roman"/>
                      <w:sz w:val="18"/>
                      <w:szCs w:val="18"/>
                    </w:rPr>
                  </w:pPr>
                  <w:r>
                    <w:rPr>
                      <w:rFonts w:hint="eastAsia" w:cs="Times New Roman"/>
                      <w:bCs/>
                      <w:sz w:val="18"/>
                      <w:szCs w:val="18"/>
                    </w:rPr>
                    <w:t>本项目新建双回路杆塔</w:t>
                  </w:r>
                  <w:r>
                    <w:rPr>
                      <w:rFonts w:cs="Times New Roman"/>
                      <w:bCs/>
                      <w:sz w:val="18"/>
                      <w:szCs w:val="18"/>
                    </w:rPr>
                    <w:t>4</w:t>
                  </w:r>
                  <w:r>
                    <w:rPr>
                      <w:rFonts w:hint="eastAsia" w:cs="Times New Roman"/>
                      <w:bCs/>
                      <w:sz w:val="18"/>
                      <w:szCs w:val="18"/>
                    </w:rPr>
                    <w:t>基，单个铁塔占地约</w:t>
                  </w:r>
                  <w:r>
                    <w:rPr>
                      <w:rFonts w:cs="Times New Roman"/>
                      <w:bCs/>
                      <w:sz w:val="18"/>
                      <w:szCs w:val="18"/>
                    </w:rPr>
                    <w:t>25m</w:t>
                  </w:r>
                  <w:r>
                    <w:rPr>
                      <w:rFonts w:cs="Times New Roman"/>
                      <w:bCs/>
                      <w:sz w:val="18"/>
                      <w:szCs w:val="18"/>
                      <w:vertAlign w:val="superscript"/>
                    </w:rPr>
                    <w:t>2</w:t>
                  </w:r>
                  <w:r>
                    <w:rPr>
                      <w:rFonts w:hint="eastAsia" w:cs="Times New Roman"/>
                      <w:bCs/>
                      <w:sz w:val="18"/>
                      <w:szCs w:val="18"/>
                    </w:rPr>
                    <w:t>，塔基永久占地面积约</w:t>
                  </w:r>
                  <w:r>
                    <w:rPr>
                      <w:rFonts w:cs="Times New Roman"/>
                      <w:bCs/>
                      <w:sz w:val="18"/>
                      <w:szCs w:val="18"/>
                    </w:rPr>
                    <w:t>100m</w:t>
                  </w:r>
                  <w:r>
                    <w:rPr>
                      <w:rFonts w:cs="Times New Roman"/>
                      <w:bCs/>
                      <w:sz w:val="18"/>
                      <w:szCs w:val="18"/>
                      <w:vertAlign w:val="superscript"/>
                    </w:rPr>
                    <w:t>2</w:t>
                  </w:r>
                  <w:r>
                    <w:rPr>
                      <w:rFonts w:hint="eastAsia" w:cs="Times New Roman"/>
                      <w:bCs/>
                      <w:sz w:val="18"/>
                      <w:szCs w:val="18"/>
                    </w:rPr>
                    <w:t>；本项目拆除铁塔</w:t>
                  </w:r>
                  <w:r>
                    <w:rPr>
                      <w:rFonts w:cs="Times New Roman"/>
                      <w:bCs/>
                      <w:sz w:val="18"/>
                      <w:szCs w:val="18"/>
                    </w:rPr>
                    <w:t>3</w:t>
                  </w:r>
                  <w:r>
                    <w:rPr>
                      <w:rFonts w:hint="eastAsia" w:cs="Times New Roman"/>
                      <w:bCs/>
                      <w:sz w:val="18"/>
                      <w:szCs w:val="18"/>
                    </w:rPr>
                    <w:t>基，恢复土地面积约</w:t>
                  </w:r>
                  <w:r>
                    <w:rPr>
                      <w:rFonts w:cs="Times New Roman"/>
                      <w:bCs/>
                      <w:sz w:val="18"/>
                      <w:szCs w:val="18"/>
                    </w:rPr>
                    <w:t>75m</w:t>
                  </w:r>
                  <w:r>
                    <w:rPr>
                      <w:rFonts w:cs="Times New Roman"/>
                      <w:bCs/>
                      <w:sz w:val="18"/>
                      <w:szCs w:val="18"/>
                      <w:vertAlign w:val="superscript"/>
                    </w:rPr>
                    <w:t>2</w:t>
                  </w:r>
                  <w:r>
                    <w:rPr>
                      <w:rFonts w:hint="eastAsia" w:cs="Times New Roman"/>
                      <w:bCs/>
                      <w:sz w:val="18"/>
                      <w:szCs w:val="18"/>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1293" w:type="dxa"/>
                  <w:vMerge w:val="continue"/>
                  <w:vAlign w:val="center"/>
                </w:tcPr>
                <w:p>
                  <w:pPr>
                    <w:jc w:val="center"/>
                    <w:rPr>
                      <w:rFonts w:cs="Times New Roman"/>
                      <w:sz w:val="18"/>
                      <w:szCs w:val="18"/>
                    </w:rPr>
                  </w:pPr>
                </w:p>
              </w:tc>
              <w:tc>
                <w:tcPr>
                  <w:tcW w:w="464" w:type="dxa"/>
                  <w:vMerge w:val="continue"/>
                  <w:vAlign w:val="center"/>
                </w:tcPr>
                <w:p>
                  <w:pPr>
                    <w:jc w:val="center"/>
                    <w:rPr>
                      <w:rFonts w:cs="Times New Roman"/>
                      <w:sz w:val="18"/>
                      <w:szCs w:val="18"/>
                    </w:rPr>
                  </w:pPr>
                </w:p>
              </w:tc>
              <w:tc>
                <w:tcPr>
                  <w:tcW w:w="1060" w:type="dxa"/>
                  <w:vAlign w:val="center"/>
                </w:tcPr>
                <w:p>
                  <w:pPr>
                    <w:jc w:val="center"/>
                    <w:rPr>
                      <w:rFonts w:cs="Times New Roman"/>
                      <w:sz w:val="18"/>
                      <w:szCs w:val="18"/>
                    </w:rPr>
                  </w:pPr>
                  <w:r>
                    <w:rPr>
                      <w:rFonts w:hint="eastAsia" w:cs="Times New Roman"/>
                      <w:sz w:val="18"/>
                      <w:szCs w:val="18"/>
                    </w:rPr>
                    <w:t>工程投资</w:t>
                  </w:r>
                </w:p>
              </w:tc>
              <w:tc>
                <w:tcPr>
                  <w:tcW w:w="5400" w:type="dxa"/>
                  <w:vAlign w:val="center"/>
                </w:tcPr>
                <w:p>
                  <w:pPr>
                    <w:rPr>
                      <w:rFonts w:cs="Times New Roman"/>
                      <w:sz w:val="18"/>
                      <w:szCs w:val="18"/>
                    </w:rPr>
                  </w:pPr>
                  <w:r>
                    <w:rPr>
                      <w:rFonts w:hint="eastAsia" w:cs="Times New Roman"/>
                      <w:sz w:val="18"/>
                      <w:szCs w:val="18"/>
                    </w:rPr>
                    <w:t>工程静态投资</w:t>
                  </w:r>
                  <w:r>
                    <w:rPr>
                      <w:rFonts w:cs="Times New Roman"/>
                      <w:sz w:val="18"/>
                      <w:szCs w:val="18"/>
                    </w:rPr>
                    <w:t>1263</w:t>
                  </w:r>
                  <w:r>
                    <w:rPr>
                      <w:rFonts w:hint="eastAsia" w:cs="Times New Roman"/>
                      <w:sz w:val="18"/>
                      <w:szCs w:val="18"/>
                    </w:rPr>
                    <w:t>万元。</w:t>
                  </w:r>
                </w:p>
              </w:tc>
            </w:tr>
          </w:tbl>
          <w:p>
            <w:pPr>
              <w:spacing w:line="360" w:lineRule="auto"/>
              <w:ind w:firstLine="420" w:firstLineChars="200"/>
              <w:rPr>
                <w:rFonts w:cs="Times New Roman"/>
                <w:szCs w:val="21"/>
              </w:rPr>
            </w:pPr>
          </w:p>
        </w:tc>
      </w:tr>
    </w:tbl>
    <w:p>
      <w:pPr>
        <w:adjustRightInd w:val="0"/>
        <w:snapToGrid w:val="0"/>
        <w:jc w:val="center"/>
        <w:rPr>
          <w:rFonts w:eastAsia="黑体" w:cs="Times New Roman"/>
          <w:kern w:val="0"/>
          <w:szCs w:val="21"/>
        </w:rPr>
        <w:sectPr>
          <w:pgSz w:w="11906" w:h="16838"/>
          <w:pgMar w:top="1418" w:right="1418" w:bottom="1418" w:left="1418" w:header="851" w:footer="992" w:gutter="0"/>
          <w:cols w:space="425" w:num="1"/>
          <w:docGrid w:type="lines" w:linePitch="312" w:charSpace="0"/>
        </w:sectPr>
      </w:pPr>
    </w:p>
    <w:tbl>
      <w:tblPr>
        <w:tblStyle w:val="25"/>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557"/>
        <w:gridCol w:w="85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2" w:hRule="atLeast"/>
          <w:jc w:val="center"/>
        </w:trPr>
        <w:tc>
          <w:tcPr>
            <w:tcW w:w="557" w:type="dxa"/>
            <w:vAlign w:val="center"/>
          </w:tcPr>
          <w:p>
            <w:pPr>
              <w:adjustRightInd w:val="0"/>
              <w:snapToGrid w:val="0"/>
              <w:jc w:val="center"/>
              <w:rPr>
                <w:rFonts w:eastAsia="黑体" w:cs="Times New Roman"/>
                <w:kern w:val="0"/>
                <w:szCs w:val="21"/>
                <w:highlight w:val="yellow"/>
              </w:rPr>
            </w:pPr>
            <w:r>
              <w:rPr>
                <w:rFonts w:eastAsia="黑体" w:cs="Times New Roman"/>
                <w:kern w:val="0"/>
                <w:szCs w:val="21"/>
              </w:rPr>
              <w:t>总平面及现场布置</w:t>
            </w:r>
          </w:p>
        </w:tc>
        <w:tc>
          <w:tcPr>
            <w:tcW w:w="8533" w:type="dxa"/>
          </w:tcPr>
          <w:p>
            <w:pPr>
              <w:keepLines/>
              <w:numPr>
                <w:ilvl w:val="0"/>
                <w:numId w:val="4"/>
              </w:numPr>
              <w:adjustRightInd w:val="0"/>
              <w:spacing w:line="360" w:lineRule="auto"/>
              <w:outlineLvl w:val="1"/>
              <w:rPr>
                <w:rFonts w:eastAsia="黑体" w:cs="Times New Roman"/>
                <w:bCs/>
                <w:szCs w:val="32"/>
              </w:rPr>
            </w:pPr>
            <w:r>
              <w:rPr>
                <w:rFonts w:eastAsia="黑体" w:cs="Times New Roman"/>
                <w:bCs/>
                <w:szCs w:val="32"/>
              </w:rPr>
              <w:t>线路路径走向</w:t>
            </w:r>
          </w:p>
          <w:p>
            <w:pPr>
              <w:keepLines/>
              <w:adjustRightInd w:val="0"/>
              <w:spacing w:line="360" w:lineRule="auto"/>
              <w:ind w:firstLine="420" w:firstLineChars="200"/>
              <w:outlineLvl w:val="1"/>
              <w:rPr>
                <w:rFonts w:cs="Times New Roman"/>
                <w:bCs/>
                <w:szCs w:val="32"/>
              </w:rPr>
            </w:pPr>
            <w:r>
              <w:rPr>
                <w:rFonts w:hint="eastAsia" w:cs="Times New Roman"/>
                <w:bCs/>
                <w:szCs w:val="32"/>
              </w:rPr>
              <w:t>原110kV民盐20#塔小号侧新建1#终端塔，线路沿规划杭州机场高铁西侧往南架线，跨过杭州机场高铁后，线路右转于原110kV民盐22#塔大号侧新建4#终端塔接回原线路。</w:t>
            </w:r>
          </w:p>
          <w:p>
            <w:pPr>
              <w:keepLines/>
              <w:adjustRightInd w:val="0"/>
              <w:spacing w:line="360" w:lineRule="auto"/>
              <w:ind w:firstLine="420" w:firstLineChars="200"/>
              <w:outlineLvl w:val="1"/>
              <w:rPr>
                <w:rFonts w:cs="Times New Roman"/>
                <w:bCs/>
                <w:szCs w:val="32"/>
              </w:rPr>
            </w:pPr>
            <w:r>
              <w:rPr>
                <w:rFonts w:hint="eastAsia" w:cs="Times New Roman"/>
                <w:bCs/>
                <w:szCs w:val="32"/>
              </w:rPr>
              <w:t>本项目输电线路路径图见附图3。</w:t>
            </w:r>
          </w:p>
          <w:p>
            <w:pPr>
              <w:keepLines/>
              <w:numPr>
                <w:ilvl w:val="0"/>
                <w:numId w:val="4"/>
              </w:numPr>
              <w:adjustRightInd w:val="0"/>
              <w:spacing w:line="360" w:lineRule="auto"/>
              <w:outlineLvl w:val="1"/>
              <w:rPr>
                <w:rFonts w:eastAsia="黑体" w:cs="Times New Roman"/>
                <w:bCs/>
                <w:szCs w:val="32"/>
              </w:rPr>
            </w:pPr>
            <w:r>
              <w:rPr>
                <w:rFonts w:eastAsia="黑体" w:cs="Times New Roman"/>
                <w:bCs/>
                <w:szCs w:val="32"/>
              </w:rPr>
              <w:t>工程占地及布置</w:t>
            </w:r>
          </w:p>
          <w:p>
            <w:pPr>
              <w:keepLines/>
              <w:adjustRightInd w:val="0"/>
              <w:spacing w:line="360" w:lineRule="auto"/>
              <w:ind w:firstLine="420" w:firstLineChars="200"/>
              <w:outlineLvl w:val="1"/>
              <w:rPr>
                <w:rFonts w:cs="Times New Roman"/>
                <w:bCs/>
                <w:szCs w:val="32"/>
              </w:rPr>
            </w:pPr>
            <w:r>
              <w:rPr>
                <w:rFonts w:cs="Times New Roman"/>
                <w:bCs/>
                <w:szCs w:val="32"/>
              </w:rPr>
              <w:t>本</w:t>
            </w:r>
            <w:r>
              <w:rPr>
                <w:rFonts w:hint="eastAsia" w:cs="Times New Roman"/>
                <w:bCs/>
                <w:szCs w:val="32"/>
              </w:rPr>
              <w:t>项目新建双回路杆塔4基</w:t>
            </w:r>
            <w:r>
              <w:rPr>
                <w:rFonts w:cs="Times New Roman"/>
                <w:bCs/>
                <w:szCs w:val="32"/>
              </w:rPr>
              <w:t>，单个铁塔占地约</w:t>
            </w:r>
            <w:r>
              <w:rPr>
                <w:rFonts w:hint="eastAsia" w:cs="Times New Roman"/>
                <w:bCs/>
                <w:szCs w:val="32"/>
              </w:rPr>
              <w:t>25</w:t>
            </w:r>
            <w:r>
              <w:rPr>
                <w:rFonts w:cs="Times New Roman"/>
                <w:bCs/>
                <w:szCs w:val="32"/>
              </w:rPr>
              <w:t>m</w:t>
            </w:r>
            <w:r>
              <w:rPr>
                <w:rFonts w:cs="Times New Roman"/>
                <w:bCs/>
                <w:szCs w:val="32"/>
                <w:vertAlign w:val="superscript"/>
              </w:rPr>
              <w:t>2</w:t>
            </w:r>
            <w:r>
              <w:rPr>
                <w:rFonts w:cs="Times New Roman"/>
                <w:bCs/>
                <w:szCs w:val="32"/>
              </w:rPr>
              <w:t>，塔基永久占地面积约100m</w:t>
            </w:r>
            <w:r>
              <w:rPr>
                <w:rFonts w:cs="Times New Roman"/>
                <w:bCs/>
                <w:szCs w:val="32"/>
                <w:vertAlign w:val="superscript"/>
              </w:rPr>
              <w:t>2</w:t>
            </w:r>
            <w:r>
              <w:rPr>
                <w:rFonts w:cs="Times New Roman"/>
                <w:bCs/>
                <w:szCs w:val="32"/>
              </w:rPr>
              <w:t>；本项目拆除</w:t>
            </w:r>
            <w:r>
              <w:rPr>
                <w:rFonts w:hint="eastAsia" w:cs="Times New Roman"/>
                <w:bCs/>
                <w:szCs w:val="32"/>
              </w:rPr>
              <w:t>铁塔3基</w:t>
            </w:r>
            <w:r>
              <w:rPr>
                <w:rFonts w:cs="Times New Roman"/>
                <w:bCs/>
                <w:szCs w:val="32"/>
              </w:rPr>
              <w:t>，恢复土地面积约75m</w:t>
            </w:r>
            <w:r>
              <w:rPr>
                <w:rFonts w:cs="Times New Roman"/>
                <w:bCs/>
                <w:szCs w:val="32"/>
                <w:vertAlign w:val="superscript"/>
              </w:rPr>
              <w:t>2</w:t>
            </w:r>
            <w:r>
              <w:rPr>
                <w:rFonts w:cs="Times New Roman"/>
                <w:bCs/>
                <w:szCs w:val="32"/>
              </w:rPr>
              <w:t>；本</w:t>
            </w:r>
            <w:r>
              <w:rPr>
                <w:rFonts w:hint="eastAsia" w:cs="Times New Roman"/>
                <w:bCs/>
                <w:szCs w:val="32"/>
              </w:rPr>
              <w:t>项目</w:t>
            </w:r>
            <w:r>
              <w:rPr>
                <w:rFonts w:cs="Times New Roman"/>
                <w:bCs/>
                <w:szCs w:val="32"/>
              </w:rPr>
              <w:t>杆塔一览图见附图7。</w:t>
            </w:r>
          </w:p>
          <w:p>
            <w:pPr>
              <w:keepLines/>
              <w:adjustRightInd w:val="0"/>
              <w:spacing w:line="360" w:lineRule="auto"/>
              <w:ind w:firstLine="420" w:firstLineChars="200"/>
              <w:outlineLvl w:val="1"/>
              <w:rPr>
                <w:rFonts w:cs="Times New Roman"/>
                <w:bCs/>
                <w:szCs w:val="32"/>
                <w:highlight w:val="yellow"/>
                <w:lang w:val="zh-CN"/>
              </w:rPr>
            </w:pPr>
            <w:r>
              <w:rPr>
                <w:rFonts w:cs="Times New Roman"/>
                <w:bCs/>
                <w:szCs w:val="32"/>
              </w:rPr>
              <w:t>线路沿线拟设置牵张场</w:t>
            </w:r>
            <w:r>
              <w:rPr>
                <w:rFonts w:hint="eastAsia" w:cs="Times New Roman"/>
                <w:bCs/>
                <w:szCs w:val="32"/>
              </w:rPr>
              <w:t>1</w:t>
            </w:r>
            <w:r>
              <w:rPr>
                <w:rFonts w:cs="Times New Roman"/>
                <w:bCs/>
                <w:szCs w:val="32"/>
              </w:rPr>
              <w:t>个，单个牵张场占地面积约</w:t>
            </w:r>
            <w:r>
              <w:rPr>
                <w:rFonts w:hint="eastAsia" w:cs="Times New Roman"/>
                <w:bCs/>
                <w:szCs w:val="32"/>
              </w:rPr>
              <w:t>2</w:t>
            </w:r>
            <w:r>
              <w:rPr>
                <w:rFonts w:cs="Times New Roman"/>
                <w:bCs/>
                <w:szCs w:val="32"/>
              </w:rPr>
              <w:t>00m</w:t>
            </w:r>
            <w:r>
              <w:rPr>
                <w:rFonts w:cs="Times New Roman"/>
                <w:bCs/>
                <w:szCs w:val="32"/>
                <w:vertAlign w:val="superscript"/>
              </w:rPr>
              <w:t>2</w:t>
            </w:r>
            <w:r>
              <w:rPr>
                <w:rFonts w:cs="Times New Roman"/>
                <w:bCs/>
                <w:szCs w:val="32"/>
              </w:rPr>
              <w:t>。架空线路施工需设置等同于塔基永久占地相当的临时占地作为施工场地和材料临时堆放地，需设置临时施工场地约</w:t>
            </w:r>
            <w:r>
              <w:rPr>
                <w:rFonts w:hint="eastAsia" w:cs="Times New Roman"/>
                <w:bCs/>
                <w:szCs w:val="32"/>
              </w:rPr>
              <w:t>100</w:t>
            </w:r>
            <w:r>
              <w:rPr>
                <w:rFonts w:cs="Times New Roman"/>
                <w:bCs/>
                <w:szCs w:val="32"/>
              </w:rPr>
              <w:t>m</w:t>
            </w:r>
            <w:r>
              <w:rPr>
                <w:rFonts w:cs="Times New Roman"/>
                <w:bCs/>
                <w:szCs w:val="32"/>
                <w:vertAlign w:val="superscript"/>
              </w:rPr>
              <w:t>2</w:t>
            </w:r>
            <w:r>
              <w:rPr>
                <w:rFonts w:cs="Times New Roman"/>
                <w:bCs/>
                <w:szCs w:val="32"/>
              </w:rPr>
              <w:t>，占地类型为</w:t>
            </w:r>
            <w:r>
              <w:rPr>
                <w:rFonts w:hint="eastAsia" w:cs="Times New Roman"/>
                <w:bCs/>
                <w:szCs w:val="32"/>
              </w:rPr>
              <w:t>建设用地、农用地</w:t>
            </w:r>
            <w:r>
              <w:rPr>
                <w:rFonts w:cs="Times New Roman"/>
                <w:bCs/>
                <w:szCs w:val="32"/>
              </w:rPr>
              <w:t>、</w:t>
            </w:r>
            <w:r>
              <w:rPr>
                <w:rFonts w:hint="eastAsia" w:cs="Times New Roman"/>
                <w:bCs/>
                <w:szCs w:val="32"/>
              </w:rPr>
              <w:t>园地及</w:t>
            </w:r>
            <w:r>
              <w:rPr>
                <w:rFonts w:cs="Times New Roman"/>
                <w:bCs/>
                <w:szCs w:val="32"/>
              </w:rPr>
              <w:t>交通运输用地。本项目线路施工优先利用现有</w:t>
            </w:r>
            <w:r>
              <w:rPr>
                <w:rFonts w:hint="eastAsia" w:cs="Times New Roman"/>
                <w:bCs/>
                <w:szCs w:val="32"/>
              </w:rPr>
              <w:t>村道及机耕道</w:t>
            </w:r>
            <w:r>
              <w:rPr>
                <w:rFonts w:cs="Times New Roman"/>
                <w:bCs/>
                <w:szCs w:val="32"/>
              </w:rPr>
              <w:t>作为临时施工便道，</w:t>
            </w:r>
            <w:r>
              <w:rPr>
                <w:rFonts w:hint="eastAsia" w:cs="Times New Roman"/>
                <w:bCs/>
                <w:szCs w:val="32"/>
              </w:rPr>
              <w:t>无</w:t>
            </w:r>
            <w:r>
              <w:rPr>
                <w:rFonts w:cs="Times New Roman"/>
                <w:bCs/>
                <w:szCs w:val="32"/>
              </w:rPr>
              <w:t>需修筑临时施工便道。</w:t>
            </w:r>
            <w:r>
              <w:rPr>
                <w:rFonts w:cs="Times New Roman"/>
                <w:bCs/>
                <w:szCs w:val="32"/>
                <w:lang w:val="zh-CN"/>
              </w:rPr>
              <w:t>故本</w:t>
            </w:r>
            <w:r>
              <w:rPr>
                <w:rFonts w:hint="eastAsia" w:cs="Times New Roman"/>
                <w:bCs/>
                <w:szCs w:val="32"/>
                <w:lang w:val="zh-CN"/>
              </w:rPr>
              <w:t>项目</w:t>
            </w:r>
            <w:r>
              <w:rPr>
                <w:rFonts w:cs="Times New Roman"/>
                <w:bCs/>
                <w:szCs w:val="32"/>
                <w:lang w:val="zh-CN"/>
              </w:rPr>
              <w:t>总临时占地面积约为</w:t>
            </w:r>
            <w:r>
              <w:rPr>
                <w:rFonts w:hint="eastAsia" w:cs="Times New Roman"/>
                <w:bCs/>
                <w:szCs w:val="32"/>
              </w:rPr>
              <w:t>3</w:t>
            </w:r>
            <w:r>
              <w:rPr>
                <w:rFonts w:cs="Times New Roman"/>
                <w:bCs/>
                <w:szCs w:val="32"/>
              </w:rPr>
              <w:t>0</w:t>
            </w:r>
            <w:r>
              <w:rPr>
                <w:rFonts w:hint="eastAsia" w:cs="Times New Roman"/>
                <w:bCs/>
                <w:szCs w:val="32"/>
              </w:rPr>
              <w:t>0</w:t>
            </w:r>
            <w:r>
              <w:rPr>
                <w:rFonts w:cs="Times New Roman"/>
                <w:bCs/>
                <w:szCs w:val="32"/>
                <w:lang w:val="zh-CN"/>
              </w:rPr>
              <w:t>m</w:t>
            </w:r>
            <w:r>
              <w:rPr>
                <w:rFonts w:cs="Times New Roman"/>
                <w:bCs/>
                <w:szCs w:val="32"/>
                <w:vertAlign w:val="superscript"/>
                <w:lang w:val="zh-CN"/>
              </w:rPr>
              <w:t>2</w:t>
            </w:r>
            <w:r>
              <w:rPr>
                <w:rFonts w:cs="Times New Roman"/>
                <w:bCs/>
                <w:szCs w:val="32"/>
                <w:lang w:val="zh-CN"/>
              </w:rPr>
              <w:t>。</w:t>
            </w:r>
          </w:p>
          <w:p>
            <w:pPr>
              <w:keepLines/>
              <w:adjustRightInd w:val="0"/>
              <w:spacing w:line="360" w:lineRule="auto"/>
              <w:ind w:firstLine="420" w:firstLineChars="200"/>
              <w:outlineLvl w:val="1"/>
              <w:rPr>
                <w:rFonts w:cs="Times New Roman"/>
                <w:bCs/>
                <w:szCs w:val="32"/>
              </w:rPr>
            </w:pPr>
            <w:r>
              <w:rPr>
                <w:rFonts w:cs="Times New Roman"/>
                <w:bCs/>
                <w:szCs w:val="32"/>
              </w:rPr>
              <w:t>临时占地主要为架空线路塔基施工区、牵张场、杆塔临时堆料场、施工道路等临时占地，施工结束时施工单位需按照原有土地和植被类型对临时占地进行土地复垦和植被恢复。</w:t>
            </w:r>
          </w:p>
          <w:p>
            <w:pPr>
              <w:autoSpaceDE w:val="0"/>
              <w:autoSpaceDN w:val="0"/>
              <w:adjustRightInd w:val="0"/>
              <w:jc w:val="center"/>
              <w:rPr>
                <w:rFonts w:cs="Times New Roman"/>
                <w:kern w:val="0"/>
                <w:sz w:val="18"/>
                <w:szCs w:val="18"/>
              </w:rPr>
            </w:pPr>
            <w:r>
              <w:rPr>
                <w:rFonts w:eastAsia="黑体" w:cs="Times New Roman"/>
                <w:kern w:val="0"/>
                <w:sz w:val="18"/>
                <w:szCs w:val="18"/>
              </w:rPr>
              <w:t>表2.</w:t>
            </w:r>
            <w:r>
              <w:rPr>
                <w:rFonts w:hint="eastAsia" w:eastAsia="黑体" w:cs="Times New Roman"/>
                <w:kern w:val="0"/>
                <w:sz w:val="18"/>
                <w:szCs w:val="18"/>
              </w:rPr>
              <w:t>3</w:t>
            </w:r>
            <w:r>
              <w:rPr>
                <w:rFonts w:eastAsia="黑体" w:cs="Times New Roman"/>
                <w:kern w:val="0"/>
                <w:sz w:val="18"/>
                <w:szCs w:val="18"/>
              </w:rPr>
              <w:t>-1  本项目占地情况一览表</w:t>
            </w:r>
            <w:r>
              <w:rPr>
                <w:rFonts w:hint="eastAsia" w:eastAsia="黑体" w:cs="Times New Roman"/>
                <w:kern w:val="0"/>
                <w:sz w:val="18"/>
                <w:szCs w:val="18"/>
              </w:rPr>
              <w:t xml:space="preserve"> </w:t>
            </w:r>
            <w:r>
              <w:rPr>
                <w:rFonts w:eastAsia="黑体" w:cs="Times New Roman"/>
                <w:kern w:val="0"/>
                <w:sz w:val="18"/>
                <w:szCs w:val="18"/>
              </w:rPr>
              <w:t xml:space="preserve">     单位：m</w:t>
            </w:r>
            <w:r>
              <w:rPr>
                <w:rFonts w:eastAsia="黑体" w:cs="Times New Roman"/>
                <w:kern w:val="0"/>
                <w:sz w:val="18"/>
                <w:szCs w:val="18"/>
                <w:vertAlign w:val="superscript"/>
              </w:rPr>
              <w:t>2</w:t>
            </w:r>
          </w:p>
          <w:tbl>
            <w:tblPr>
              <w:tblStyle w:val="25"/>
              <w:tblW w:w="48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355"/>
              <w:gridCol w:w="898"/>
              <w:gridCol w:w="930"/>
              <w:gridCol w:w="756"/>
              <w:gridCol w:w="1365"/>
              <w:gridCol w:w="846"/>
              <w:gridCol w:w="167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9" w:type="dxa"/>
                  <w:vMerge w:val="restart"/>
                  <w:vAlign w:val="center"/>
                </w:tcPr>
                <w:p>
                  <w:pPr>
                    <w:autoSpaceDE w:val="0"/>
                    <w:autoSpaceDN w:val="0"/>
                    <w:jc w:val="center"/>
                    <w:rPr>
                      <w:rFonts w:cs="Times New Roman"/>
                      <w:sz w:val="18"/>
                      <w:szCs w:val="18"/>
                    </w:rPr>
                  </w:pPr>
                  <w:r>
                    <w:rPr>
                      <w:rFonts w:cs="Times New Roman"/>
                      <w:sz w:val="18"/>
                      <w:szCs w:val="18"/>
                    </w:rPr>
                    <w:t>序号</w:t>
                  </w:r>
                </w:p>
              </w:tc>
              <w:tc>
                <w:tcPr>
                  <w:tcW w:w="1407" w:type="dxa"/>
                  <w:vMerge w:val="restart"/>
                  <w:vAlign w:val="center"/>
                </w:tcPr>
                <w:p>
                  <w:pPr>
                    <w:autoSpaceDE w:val="0"/>
                    <w:autoSpaceDN w:val="0"/>
                    <w:jc w:val="center"/>
                    <w:rPr>
                      <w:rFonts w:cs="Times New Roman"/>
                      <w:sz w:val="18"/>
                      <w:szCs w:val="18"/>
                    </w:rPr>
                  </w:pPr>
                  <w:r>
                    <w:rPr>
                      <w:rFonts w:cs="Times New Roman"/>
                      <w:sz w:val="18"/>
                      <w:szCs w:val="18"/>
                    </w:rPr>
                    <w:t>占地位置</w:t>
                  </w:r>
                </w:p>
              </w:tc>
              <w:tc>
                <w:tcPr>
                  <w:tcW w:w="3971" w:type="dxa"/>
                  <w:gridSpan w:val="4"/>
                  <w:vAlign w:val="center"/>
                </w:tcPr>
                <w:p>
                  <w:pPr>
                    <w:autoSpaceDE w:val="0"/>
                    <w:autoSpaceDN w:val="0"/>
                    <w:jc w:val="center"/>
                    <w:rPr>
                      <w:rFonts w:cs="Times New Roman"/>
                      <w:sz w:val="18"/>
                      <w:szCs w:val="18"/>
                    </w:rPr>
                  </w:pPr>
                  <w:r>
                    <w:rPr>
                      <w:rFonts w:cs="Times New Roman"/>
                      <w:sz w:val="18"/>
                      <w:szCs w:val="18"/>
                    </w:rPr>
                    <w:t>占地类型</w:t>
                  </w:r>
                </w:p>
              </w:tc>
              <w:tc>
                <w:tcPr>
                  <w:tcW w:w="709" w:type="dxa"/>
                  <w:vMerge w:val="restart"/>
                  <w:vAlign w:val="center"/>
                </w:tcPr>
                <w:p>
                  <w:pPr>
                    <w:autoSpaceDE w:val="0"/>
                    <w:autoSpaceDN w:val="0"/>
                    <w:jc w:val="center"/>
                    <w:rPr>
                      <w:rFonts w:cs="Times New Roman"/>
                      <w:sz w:val="18"/>
                      <w:szCs w:val="18"/>
                    </w:rPr>
                  </w:pPr>
                  <w:r>
                    <w:rPr>
                      <w:rFonts w:cs="Times New Roman"/>
                      <w:sz w:val="18"/>
                      <w:szCs w:val="18"/>
                    </w:rPr>
                    <w:t>小计</w:t>
                  </w:r>
                </w:p>
              </w:tc>
              <w:tc>
                <w:tcPr>
                  <w:tcW w:w="1733" w:type="dxa"/>
                  <w:vMerge w:val="restart"/>
                  <w:vAlign w:val="center"/>
                </w:tcPr>
                <w:p>
                  <w:pPr>
                    <w:autoSpaceDE w:val="0"/>
                    <w:autoSpaceDN w:val="0"/>
                    <w:jc w:val="center"/>
                    <w:rPr>
                      <w:rFonts w:cs="Times New Roman"/>
                      <w:sz w:val="18"/>
                      <w:szCs w:val="18"/>
                    </w:rPr>
                  </w:pPr>
                  <w:r>
                    <w:rPr>
                      <w:rFonts w:cs="Times New Roman"/>
                      <w:sz w:val="18"/>
                      <w:szCs w:val="18"/>
                    </w:rPr>
                    <w:t>占地性质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9" w:type="dxa"/>
                  <w:vMerge w:val="continue"/>
                  <w:vAlign w:val="center"/>
                </w:tcPr>
                <w:p>
                  <w:pPr>
                    <w:autoSpaceDE w:val="0"/>
                    <w:autoSpaceDN w:val="0"/>
                    <w:jc w:val="center"/>
                    <w:rPr>
                      <w:rFonts w:cs="Times New Roman"/>
                      <w:sz w:val="18"/>
                      <w:szCs w:val="18"/>
                    </w:rPr>
                  </w:pPr>
                </w:p>
              </w:tc>
              <w:tc>
                <w:tcPr>
                  <w:tcW w:w="1407" w:type="dxa"/>
                  <w:vMerge w:val="continue"/>
                  <w:vAlign w:val="center"/>
                </w:tcPr>
                <w:p>
                  <w:pPr>
                    <w:autoSpaceDE w:val="0"/>
                    <w:autoSpaceDN w:val="0"/>
                    <w:jc w:val="center"/>
                    <w:rPr>
                      <w:rFonts w:cs="Times New Roman"/>
                      <w:sz w:val="18"/>
                      <w:szCs w:val="18"/>
                    </w:rPr>
                  </w:pPr>
                </w:p>
              </w:tc>
              <w:tc>
                <w:tcPr>
                  <w:tcW w:w="925" w:type="dxa"/>
                  <w:vAlign w:val="center"/>
                </w:tcPr>
                <w:p>
                  <w:pPr>
                    <w:autoSpaceDE w:val="0"/>
                    <w:autoSpaceDN w:val="0"/>
                    <w:jc w:val="center"/>
                    <w:rPr>
                      <w:rFonts w:cs="Times New Roman"/>
                      <w:sz w:val="18"/>
                      <w:szCs w:val="18"/>
                    </w:rPr>
                  </w:pPr>
                  <w:r>
                    <w:rPr>
                      <w:rFonts w:hint="eastAsia" w:cs="Times New Roman"/>
                      <w:sz w:val="18"/>
                      <w:szCs w:val="18"/>
                    </w:rPr>
                    <w:t>林</w:t>
                  </w:r>
                  <w:r>
                    <w:rPr>
                      <w:rFonts w:cs="Times New Roman"/>
                      <w:sz w:val="18"/>
                      <w:szCs w:val="18"/>
                    </w:rPr>
                    <w:t>地</w:t>
                  </w:r>
                </w:p>
              </w:tc>
              <w:tc>
                <w:tcPr>
                  <w:tcW w:w="939" w:type="dxa"/>
                  <w:vAlign w:val="center"/>
                </w:tcPr>
                <w:p>
                  <w:pPr>
                    <w:autoSpaceDE w:val="0"/>
                    <w:autoSpaceDN w:val="0"/>
                    <w:jc w:val="center"/>
                    <w:rPr>
                      <w:rFonts w:cs="Times New Roman"/>
                      <w:sz w:val="18"/>
                      <w:szCs w:val="18"/>
                    </w:rPr>
                  </w:pPr>
                  <w:r>
                    <w:rPr>
                      <w:rFonts w:hint="eastAsia" w:cs="Times New Roman"/>
                      <w:sz w:val="18"/>
                      <w:szCs w:val="18"/>
                    </w:rPr>
                    <w:t>耕</w:t>
                  </w:r>
                  <w:r>
                    <w:rPr>
                      <w:rFonts w:cs="Times New Roman"/>
                      <w:sz w:val="18"/>
                      <w:szCs w:val="18"/>
                    </w:rPr>
                    <w:t>地</w:t>
                  </w:r>
                </w:p>
              </w:tc>
              <w:tc>
                <w:tcPr>
                  <w:tcW w:w="689" w:type="dxa"/>
                  <w:vAlign w:val="center"/>
                </w:tcPr>
                <w:p>
                  <w:pPr>
                    <w:autoSpaceDE w:val="0"/>
                    <w:autoSpaceDN w:val="0"/>
                    <w:jc w:val="center"/>
                    <w:rPr>
                      <w:rFonts w:cs="Times New Roman"/>
                      <w:sz w:val="18"/>
                      <w:szCs w:val="18"/>
                    </w:rPr>
                  </w:pPr>
                  <w:r>
                    <w:rPr>
                      <w:rFonts w:hint="eastAsia" w:cs="Times New Roman"/>
                      <w:sz w:val="18"/>
                      <w:szCs w:val="18"/>
                    </w:rPr>
                    <w:t>园地</w:t>
                  </w:r>
                </w:p>
              </w:tc>
              <w:tc>
                <w:tcPr>
                  <w:tcW w:w="1418" w:type="dxa"/>
                  <w:vAlign w:val="center"/>
                </w:tcPr>
                <w:p>
                  <w:pPr>
                    <w:autoSpaceDE w:val="0"/>
                    <w:autoSpaceDN w:val="0"/>
                    <w:jc w:val="center"/>
                    <w:rPr>
                      <w:rFonts w:cs="Times New Roman"/>
                      <w:sz w:val="18"/>
                      <w:szCs w:val="18"/>
                    </w:rPr>
                  </w:pPr>
                  <w:r>
                    <w:rPr>
                      <w:rFonts w:cs="Times New Roman"/>
                      <w:sz w:val="18"/>
                      <w:szCs w:val="18"/>
                    </w:rPr>
                    <w:t>交通运输用地</w:t>
                  </w:r>
                </w:p>
              </w:tc>
              <w:tc>
                <w:tcPr>
                  <w:tcW w:w="709" w:type="dxa"/>
                  <w:vMerge w:val="continue"/>
                  <w:vAlign w:val="center"/>
                </w:tcPr>
                <w:p>
                  <w:pPr>
                    <w:autoSpaceDE w:val="0"/>
                    <w:autoSpaceDN w:val="0"/>
                    <w:jc w:val="center"/>
                    <w:rPr>
                      <w:rFonts w:cs="Times New Roman"/>
                      <w:sz w:val="18"/>
                      <w:szCs w:val="18"/>
                    </w:rPr>
                  </w:pPr>
                </w:p>
              </w:tc>
              <w:tc>
                <w:tcPr>
                  <w:tcW w:w="1733" w:type="dxa"/>
                  <w:vMerge w:val="continue"/>
                  <w:vAlign w:val="center"/>
                </w:tcPr>
                <w:p>
                  <w:pPr>
                    <w:autoSpaceDE w:val="0"/>
                    <w:autoSpaceDN w:val="0"/>
                    <w:jc w:val="center"/>
                    <w:rPr>
                      <w:rFonts w:cs="Times New Roman"/>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9" w:type="dxa"/>
                  <w:vAlign w:val="center"/>
                </w:tcPr>
                <w:p>
                  <w:pPr>
                    <w:autoSpaceDE w:val="0"/>
                    <w:autoSpaceDN w:val="0"/>
                    <w:jc w:val="center"/>
                    <w:rPr>
                      <w:rFonts w:cs="Times New Roman"/>
                      <w:sz w:val="18"/>
                      <w:szCs w:val="18"/>
                    </w:rPr>
                  </w:pPr>
                  <w:r>
                    <w:rPr>
                      <w:rFonts w:hint="eastAsia" w:cs="Times New Roman"/>
                      <w:sz w:val="18"/>
                      <w:szCs w:val="18"/>
                    </w:rPr>
                    <w:t>1</w:t>
                  </w:r>
                </w:p>
              </w:tc>
              <w:tc>
                <w:tcPr>
                  <w:tcW w:w="1407" w:type="dxa"/>
                  <w:vAlign w:val="center"/>
                </w:tcPr>
                <w:p>
                  <w:pPr>
                    <w:autoSpaceDE w:val="0"/>
                    <w:autoSpaceDN w:val="0"/>
                    <w:jc w:val="center"/>
                    <w:rPr>
                      <w:rFonts w:cs="Times New Roman"/>
                      <w:sz w:val="18"/>
                      <w:szCs w:val="18"/>
                    </w:rPr>
                  </w:pPr>
                  <w:r>
                    <w:rPr>
                      <w:rFonts w:cs="Times New Roman"/>
                      <w:sz w:val="18"/>
                      <w:szCs w:val="18"/>
                    </w:rPr>
                    <w:t>塔基</w:t>
                  </w:r>
                </w:p>
              </w:tc>
              <w:tc>
                <w:tcPr>
                  <w:tcW w:w="925" w:type="dxa"/>
                  <w:vAlign w:val="center"/>
                </w:tcPr>
                <w:p>
                  <w:pPr>
                    <w:autoSpaceDE w:val="0"/>
                    <w:autoSpaceDN w:val="0"/>
                    <w:jc w:val="center"/>
                    <w:rPr>
                      <w:rFonts w:cs="Times New Roman"/>
                      <w:sz w:val="18"/>
                      <w:szCs w:val="18"/>
                    </w:rPr>
                  </w:pPr>
                  <w:r>
                    <w:rPr>
                      <w:rFonts w:cs="Times New Roman"/>
                      <w:sz w:val="18"/>
                      <w:szCs w:val="18"/>
                    </w:rPr>
                    <w:t>/</w:t>
                  </w:r>
                </w:p>
              </w:tc>
              <w:tc>
                <w:tcPr>
                  <w:tcW w:w="939" w:type="dxa"/>
                  <w:vAlign w:val="center"/>
                </w:tcPr>
                <w:p>
                  <w:pPr>
                    <w:autoSpaceDE w:val="0"/>
                    <w:autoSpaceDN w:val="0"/>
                    <w:jc w:val="center"/>
                    <w:rPr>
                      <w:rFonts w:cs="Times New Roman"/>
                      <w:sz w:val="18"/>
                      <w:szCs w:val="18"/>
                    </w:rPr>
                  </w:pPr>
                  <w:r>
                    <w:rPr>
                      <w:rFonts w:cs="Times New Roman"/>
                      <w:sz w:val="18"/>
                      <w:szCs w:val="18"/>
                    </w:rPr>
                    <w:t>50</w:t>
                  </w:r>
                </w:p>
              </w:tc>
              <w:tc>
                <w:tcPr>
                  <w:tcW w:w="689" w:type="dxa"/>
                  <w:vAlign w:val="center"/>
                </w:tcPr>
                <w:p>
                  <w:pPr>
                    <w:autoSpaceDE w:val="0"/>
                    <w:autoSpaceDN w:val="0"/>
                    <w:jc w:val="center"/>
                    <w:rPr>
                      <w:rFonts w:cs="Times New Roman"/>
                      <w:sz w:val="18"/>
                      <w:szCs w:val="18"/>
                    </w:rPr>
                  </w:pPr>
                  <w:r>
                    <w:rPr>
                      <w:rFonts w:cs="Times New Roman"/>
                      <w:sz w:val="18"/>
                      <w:szCs w:val="18"/>
                    </w:rPr>
                    <w:t>50</w:t>
                  </w:r>
                </w:p>
              </w:tc>
              <w:tc>
                <w:tcPr>
                  <w:tcW w:w="1418" w:type="dxa"/>
                  <w:vAlign w:val="center"/>
                </w:tcPr>
                <w:p>
                  <w:pPr>
                    <w:autoSpaceDE w:val="0"/>
                    <w:autoSpaceDN w:val="0"/>
                    <w:jc w:val="center"/>
                    <w:rPr>
                      <w:rFonts w:cs="Times New Roman"/>
                      <w:sz w:val="18"/>
                      <w:szCs w:val="18"/>
                    </w:rPr>
                  </w:pPr>
                  <w:r>
                    <w:rPr>
                      <w:rFonts w:cs="Times New Roman"/>
                      <w:sz w:val="18"/>
                      <w:szCs w:val="18"/>
                    </w:rPr>
                    <w:t>/</w:t>
                  </w:r>
                </w:p>
              </w:tc>
              <w:tc>
                <w:tcPr>
                  <w:tcW w:w="709" w:type="dxa"/>
                  <w:vAlign w:val="center"/>
                </w:tcPr>
                <w:p>
                  <w:pPr>
                    <w:autoSpaceDE w:val="0"/>
                    <w:autoSpaceDN w:val="0"/>
                    <w:jc w:val="center"/>
                    <w:rPr>
                      <w:rFonts w:cs="Times New Roman"/>
                      <w:sz w:val="18"/>
                      <w:szCs w:val="18"/>
                    </w:rPr>
                  </w:pPr>
                  <w:r>
                    <w:rPr>
                      <w:rFonts w:cs="Times New Roman"/>
                      <w:sz w:val="18"/>
                      <w:szCs w:val="18"/>
                    </w:rPr>
                    <w:t>100</w:t>
                  </w:r>
                </w:p>
              </w:tc>
              <w:tc>
                <w:tcPr>
                  <w:tcW w:w="1733" w:type="dxa"/>
                  <w:vAlign w:val="center"/>
                </w:tcPr>
                <w:p>
                  <w:pPr>
                    <w:autoSpaceDE w:val="0"/>
                    <w:autoSpaceDN w:val="0"/>
                    <w:jc w:val="center"/>
                    <w:rPr>
                      <w:rFonts w:cs="Times New Roman"/>
                      <w:sz w:val="18"/>
                      <w:szCs w:val="18"/>
                    </w:rPr>
                  </w:pPr>
                  <w:r>
                    <w:rPr>
                      <w:rFonts w:cs="Times New Roman"/>
                      <w:sz w:val="18"/>
                      <w:szCs w:val="18"/>
                    </w:rPr>
                    <w:t>永久占地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9" w:type="dxa"/>
                  <w:vAlign w:val="center"/>
                </w:tcPr>
                <w:p>
                  <w:pPr>
                    <w:autoSpaceDE w:val="0"/>
                    <w:autoSpaceDN w:val="0"/>
                    <w:jc w:val="center"/>
                    <w:rPr>
                      <w:rFonts w:cs="Times New Roman"/>
                      <w:sz w:val="18"/>
                      <w:szCs w:val="18"/>
                    </w:rPr>
                  </w:pPr>
                  <w:r>
                    <w:rPr>
                      <w:rFonts w:hint="eastAsia" w:cs="Times New Roman"/>
                      <w:sz w:val="18"/>
                      <w:szCs w:val="18"/>
                    </w:rPr>
                    <w:t>2</w:t>
                  </w:r>
                </w:p>
              </w:tc>
              <w:tc>
                <w:tcPr>
                  <w:tcW w:w="1407" w:type="dxa"/>
                  <w:vAlign w:val="center"/>
                </w:tcPr>
                <w:p>
                  <w:pPr>
                    <w:autoSpaceDE w:val="0"/>
                    <w:autoSpaceDN w:val="0"/>
                    <w:jc w:val="center"/>
                    <w:rPr>
                      <w:rFonts w:cs="Times New Roman"/>
                      <w:sz w:val="18"/>
                      <w:szCs w:val="18"/>
                    </w:rPr>
                  </w:pPr>
                  <w:r>
                    <w:rPr>
                      <w:rFonts w:cs="Times New Roman"/>
                      <w:sz w:val="18"/>
                      <w:szCs w:val="18"/>
                    </w:rPr>
                    <w:t>牵张场</w:t>
                  </w:r>
                </w:p>
              </w:tc>
              <w:tc>
                <w:tcPr>
                  <w:tcW w:w="925" w:type="dxa"/>
                  <w:vAlign w:val="center"/>
                </w:tcPr>
                <w:p>
                  <w:pPr>
                    <w:autoSpaceDE w:val="0"/>
                    <w:autoSpaceDN w:val="0"/>
                    <w:jc w:val="center"/>
                    <w:rPr>
                      <w:rFonts w:cs="Times New Roman"/>
                      <w:sz w:val="18"/>
                      <w:szCs w:val="18"/>
                    </w:rPr>
                  </w:pPr>
                  <w:r>
                    <w:rPr>
                      <w:rFonts w:cs="Times New Roman"/>
                      <w:sz w:val="18"/>
                      <w:szCs w:val="18"/>
                    </w:rPr>
                    <w:t>/</w:t>
                  </w:r>
                </w:p>
              </w:tc>
              <w:tc>
                <w:tcPr>
                  <w:tcW w:w="939" w:type="dxa"/>
                  <w:vAlign w:val="center"/>
                </w:tcPr>
                <w:p>
                  <w:pPr>
                    <w:autoSpaceDE w:val="0"/>
                    <w:autoSpaceDN w:val="0"/>
                    <w:jc w:val="center"/>
                    <w:rPr>
                      <w:rFonts w:cs="Times New Roman"/>
                      <w:sz w:val="18"/>
                      <w:szCs w:val="18"/>
                    </w:rPr>
                  </w:pPr>
                  <w:r>
                    <w:rPr>
                      <w:rFonts w:cs="Times New Roman"/>
                      <w:sz w:val="18"/>
                      <w:szCs w:val="18"/>
                    </w:rPr>
                    <w:t>/</w:t>
                  </w:r>
                </w:p>
              </w:tc>
              <w:tc>
                <w:tcPr>
                  <w:tcW w:w="689" w:type="dxa"/>
                  <w:vAlign w:val="center"/>
                </w:tcPr>
                <w:p>
                  <w:pPr>
                    <w:autoSpaceDE w:val="0"/>
                    <w:autoSpaceDN w:val="0"/>
                    <w:jc w:val="center"/>
                    <w:rPr>
                      <w:rFonts w:cs="Times New Roman"/>
                      <w:sz w:val="18"/>
                      <w:szCs w:val="18"/>
                    </w:rPr>
                  </w:pPr>
                  <w:r>
                    <w:rPr>
                      <w:rFonts w:cs="Times New Roman"/>
                      <w:sz w:val="18"/>
                      <w:szCs w:val="18"/>
                    </w:rPr>
                    <w:t>/</w:t>
                  </w:r>
                </w:p>
              </w:tc>
              <w:tc>
                <w:tcPr>
                  <w:tcW w:w="1418" w:type="dxa"/>
                  <w:vAlign w:val="center"/>
                </w:tcPr>
                <w:p>
                  <w:pPr>
                    <w:autoSpaceDE w:val="0"/>
                    <w:autoSpaceDN w:val="0"/>
                    <w:jc w:val="center"/>
                    <w:rPr>
                      <w:rFonts w:cs="Times New Roman"/>
                      <w:sz w:val="18"/>
                      <w:szCs w:val="18"/>
                    </w:rPr>
                  </w:pPr>
                  <w:r>
                    <w:rPr>
                      <w:rFonts w:cs="Times New Roman"/>
                      <w:sz w:val="18"/>
                      <w:szCs w:val="18"/>
                    </w:rPr>
                    <w:t>/</w:t>
                  </w:r>
                </w:p>
              </w:tc>
              <w:tc>
                <w:tcPr>
                  <w:tcW w:w="709" w:type="dxa"/>
                  <w:vAlign w:val="center"/>
                </w:tcPr>
                <w:p>
                  <w:pPr>
                    <w:autoSpaceDE w:val="0"/>
                    <w:autoSpaceDN w:val="0"/>
                    <w:jc w:val="center"/>
                    <w:rPr>
                      <w:rFonts w:cs="Times New Roman"/>
                      <w:sz w:val="18"/>
                      <w:szCs w:val="18"/>
                    </w:rPr>
                  </w:pPr>
                  <w:r>
                    <w:rPr>
                      <w:rFonts w:cs="Times New Roman"/>
                      <w:sz w:val="18"/>
                      <w:szCs w:val="18"/>
                    </w:rPr>
                    <w:t>200</w:t>
                  </w:r>
                </w:p>
              </w:tc>
              <w:tc>
                <w:tcPr>
                  <w:tcW w:w="1733" w:type="dxa"/>
                  <w:vAlign w:val="center"/>
                </w:tcPr>
                <w:p>
                  <w:pPr>
                    <w:autoSpaceDE w:val="0"/>
                    <w:autoSpaceDN w:val="0"/>
                    <w:jc w:val="center"/>
                    <w:rPr>
                      <w:rFonts w:cs="Times New Roman"/>
                      <w:sz w:val="18"/>
                      <w:szCs w:val="18"/>
                    </w:rPr>
                  </w:pPr>
                  <w:r>
                    <w:rPr>
                      <w:rFonts w:cs="Times New Roman"/>
                      <w:sz w:val="18"/>
                      <w:szCs w:val="18"/>
                    </w:rPr>
                    <w:t>临时占地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429" w:type="dxa"/>
                  <w:vAlign w:val="center"/>
                </w:tcPr>
                <w:p>
                  <w:pPr>
                    <w:autoSpaceDE w:val="0"/>
                    <w:autoSpaceDN w:val="0"/>
                    <w:jc w:val="center"/>
                    <w:rPr>
                      <w:rFonts w:cs="Times New Roman"/>
                      <w:sz w:val="18"/>
                      <w:szCs w:val="18"/>
                    </w:rPr>
                  </w:pPr>
                  <w:r>
                    <w:rPr>
                      <w:rFonts w:hint="eastAsia" w:cs="Times New Roman"/>
                      <w:sz w:val="18"/>
                      <w:szCs w:val="18"/>
                    </w:rPr>
                    <w:t>3</w:t>
                  </w:r>
                </w:p>
              </w:tc>
              <w:tc>
                <w:tcPr>
                  <w:tcW w:w="1407" w:type="dxa"/>
                  <w:vAlign w:val="center"/>
                </w:tcPr>
                <w:p>
                  <w:pPr>
                    <w:autoSpaceDE w:val="0"/>
                    <w:autoSpaceDN w:val="0"/>
                    <w:jc w:val="center"/>
                    <w:rPr>
                      <w:rFonts w:cs="Times New Roman"/>
                      <w:sz w:val="18"/>
                      <w:szCs w:val="18"/>
                    </w:rPr>
                  </w:pPr>
                  <w:r>
                    <w:rPr>
                      <w:rFonts w:cs="Times New Roman"/>
                      <w:sz w:val="18"/>
                      <w:szCs w:val="18"/>
                    </w:rPr>
                    <w:t>施工便道</w:t>
                  </w:r>
                </w:p>
              </w:tc>
              <w:tc>
                <w:tcPr>
                  <w:tcW w:w="925" w:type="dxa"/>
                  <w:vAlign w:val="center"/>
                </w:tcPr>
                <w:p>
                  <w:pPr>
                    <w:autoSpaceDE w:val="0"/>
                    <w:autoSpaceDN w:val="0"/>
                    <w:jc w:val="center"/>
                    <w:rPr>
                      <w:rFonts w:cs="Times New Roman"/>
                      <w:sz w:val="18"/>
                      <w:szCs w:val="18"/>
                    </w:rPr>
                  </w:pPr>
                  <w:r>
                    <w:rPr>
                      <w:rFonts w:cs="Times New Roman"/>
                      <w:sz w:val="18"/>
                      <w:szCs w:val="18"/>
                    </w:rPr>
                    <w:t>/</w:t>
                  </w:r>
                </w:p>
              </w:tc>
              <w:tc>
                <w:tcPr>
                  <w:tcW w:w="939" w:type="dxa"/>
                  <w:vAlign w:val="center"/>
                </w:tcPr>
                <w:p>
                  <w:pPr>
                    <w:autoSpaceDE w:val="0"/>
                    <w:autoSpaceDN w:val="0"/>
                    <w:jc w:val="center"/>
                    <w:rPr>
                      <w:rFonts w:cs="Times New Roman"/>
                      <w:sz w:val="18"/>
                      <w:szCs w:val="18"/>
                    </w:rPr>
                  </w:pPr>
                  <w:r>
                    <w:rPr>
                      <w:rFonts w:cs="Times New Roman"/>
                      <w:sz w:val="18"/>
                      <w:szCs w:val="18"/>
                    </w:rPr>
                    <w:t>/</w:t>
                  </w:r>
                </w:p>
              </w:tc>
              <w:tc>
                <w:tcPr>
                  <w:tcW w:w="689" w:type="dxa"/>
                  <w:vAlign w:val="center"/>
                </w:tcPr>
                <w:p>
                  <w:pPr>
                    <w:autoSpaceDE w:val="0"/>
                    <w:autoSpaceDN w:val="0"/>
                    <w:jc w:val="center"/>
                    <w:rPr>
                      <w:rFonts w:cs="Times New Roman"/>
                      <w:sz w:val="18"/>
                      <w:szCs w:val="18"/>
                    </w:rPr>
                  </w:pPr>
                  <w:r>
                    <w:rPr>
                      <w:rFonts w:cs="Times New Roman"/>
                      <w:sz w:val="18"/>
                      <w:szCs w:val="18"/>
                    </w:rPr>
                    <w:t>/</w:t>
                  </w:r>
                </w:p>
              </w:tc>
              <w:tc>
                <w:tcPr>
                  <w:tcW w:w="1418" w:type="dxa"/>
                  <w:vAlign w:val="center"/>
                </w:tcPr>
                <w:p>
                  <w:pPr>
                    <w:autoSpaceDE w:val="0"/>
                    <w:autoSpaceDN w:val="0"/>
                    <w:jc w:val="center"/>
                    <w:rPr>
                      <w:rFonts w:cs="Times New Roman"/>
                      <w:sz w:val="18"/>
                      <w:szCs w:val="18"/>
                    </w:rPr>
                  </w:pPr>
                  <w:r>
                    <w:rPr>
                      <w:rFonts w:cs="Times New Roman"/>
                      <w:sz w:val="18"/>
                      <w:szCs w:val="18"/>
                    </w:rPr>
                    <w:t>/</w:t>
                  </w:r>
                </w:p>
              </w:tc>
              <w:tc>
                <w:tcPr>
                  <w:tcW w:w="709" w:type="dxa"/>
                  <w:vAlign w:val="center"/>
                </w:tcPr>
                <w:p>
                  <w:pPr>
                    <w:autoSpaceDE w:val="0"/>
                    <w:autoSpaceDN w:val="0"/>
                    <w:jc w:val="center"/>
                    <w:rPr>
                      <w:rFonts w:cs="Times New Roman"/>
                      <w:sz w:val="18"/>
                      <w:szCs w:val="18"/>
                    </w:rPr>
                  </w:pPr>
                  <w:r>
                    <w:rPr>
                      <w:rFonts w:cs="Times New Roman"/>
                      <w:sz w:val="18"/>
                      <w:szCs w:val="18"/>
                    </w:rPr>
                    <w:t>/</w:t>
                  </w:r>
                </w:p>
              </w:tc>
              <w:tc>
                <w:tcPr>
                  <w:tcW w:w="1733" w:type="dxa"/>
                  <w:vAlign w:val="center"/>
                </w:tcPr>
                <w:p>
                  <w:pPr>
                    <w:autoSpaceDE w:val="0"/>
                    <w:autoSpaceDN w:val="0"/>
                    <w:jc w:val="center"/>
                    <w:rPr>
                      <w:rFonts w:cs="Times New Roman"/>
                      <w:sz w:val="18"/>
                      <w:szCs w:val="18"/>
                    </w:rPr>
                  </w:pPr>
                  <w:r>
                    <w:rPr>
                      <w:rFonts w:cs="Times New Roman"/>
                      <w:sz w:val="18"/>
                      <w:szCs w:val="18"/>
                    </w:rPr>
                    <w:t>临时占地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429" w:type="dxa"/>
                  <w:vAlign w:val="center"/>
                </w:tcPr>
                <w:p>
                  <w:pPr>
                    <w:autoSpaceDE w:val="0"/>
                    <w:autoSpaceDN w:val="0"/>
                    <w:jc w:val="center"/>
                    <w:rPr>
                      <w:rFonts w:cs="Times New Roman"/>
                      <w:sz w:val="18"/>
                      <w:szCs w:val="18"/>
                    </w:rPr>
                  </w:pPr>
                  <w:r>
                    <w:rPr>
                      <w:rFonts w:hint="eastAsia" w:cs="Times New Roman"/>
                      <w:sz w:val="18"/>
                      <w:szCs w:val="18"/>
                    </w:rPr>
                    <w:t>4</w:t>
                  </w:r>
                </w:p>
              </w:tc>
              <w:tc>
                <w:tcPr>
                  <w:tcW w:w="1407" w:type="dxa"/>
                  <w:vAlign w:val="center"/>
                </w:tcPr>
                <w:p>
                  <w:pPr>
                    <w:autoSpaceDE w:val="0"/>
                    <w:autoSpaceDN w:val="0"/>
                    <w:jc w:val="center"/>
                    <w:rPr>
                      <w:rFonts w:cs="Times New Roman"/>
                      <w:sz w:val="18"/>
                      <w:szCs w:val="18"/>
                    </w:rPr>
                  </w:pPr>
                  <w:r>
                    <w:rPr>
                      <w:rFonts w:cs="Times New Roman"/>
                      <w:sz w:val="18"/>
                      <w:szCs w:val="18"/>
                    </w:rPr>
                    <w:t>施工</w:t>
                  </w:r>
                  <w:r>
                    <w:rPr>
                      <w:rFonts w:hint="eastAsia" w:cs="Times New Roman"/>
                      <w:sz w:val="18"/>
                      <w:szCs w:val="18"/>
                    </w:rPr>
                    <w:t>临时</w:t>
                  </w:r>
                  <w:r>
                    <w:rPr>
                      <w:rFonts w:cs="Times New Roman"/>
                      <w:sz w:val="18"/>
                      <w:szCs w:val="18"/>
                    </w:rPr>
                    <w:t>场地</w:t>
                  </w:r>
                </w:p>
              </w:tc>
              <w:tc>
                <w:tcPr>
                  <w:tcW w:w="925" w:type="dxa"/>
                  <w:vAlign w:val="center"/>
                </w:tcPr>
                <w:p>
                  <w:pPr>
                    <w:autoSpaceDE w:val="0"/>
                    <w:autoSpaceDN w:val="0"/>
                    <w:jc w:val="center"/>
                    <w:rPr>
                      <w:rFonts w:cs="Times New Roman"/>
                      <w:sz w:val="18"/>
                      <w:szCs w:val="18"/>
                    </w:rPr>
                  </w:pPr>
                  <w:r>
                    <w:rPr>
                      <w:rFonts w:cs="Times New Roman"/>
                      <w:sz w:val="18"/>
                      <w:szCs w:val="18"/>
                    </w:rPr>
                    <w:t>/</w:t>
                  </w:r>
                </w:p>
              </w:tc>
              <w:tc>
                <w:tcPr>
                  <w:tcW w:w="939" w:type="dxa"/>
                  <w:vAlign w:val="center"/>
                </w:tcPr>
                <w:p>
                  <w:pPr>
                    <w:autoSpaceDE w:val="0"/>
                    <w:autoSpaceDN w:val="0"/>
                    <w:jc w:val="center"/>
                    <w:rPr>
                      <w:rFonts w:cs="Times New Roman"/>
                      <w:sz w:val="18"/>
                      <w:szCs w:val="18"/>
                    </w:rPr>
                  </w:pPr>
                  <w:r>
                    <w:rPr>
                      <w:rFonts w:hint="eastAsia" w:cs="Times New Roman"/>
                      <w:sz w:val="18"/>
                      <w:szCs w:val="18"/>
                    </w:rPr>
                    <w:t>（</w:t>
                  </w:r>
                  <w:r>
                    <w:rPr>
                      <w:rFonts w:cs="Times New Roman"/>
                      <w:sz w:val="18"/>
                      <w:szCs w:val="18"/>
                    </w:rPr>
                    <w:t>50</w:t>
                  </w:r>
                  <w:r>
                    <w:rPr>
                      <w:rFonts w:hint="eastAsia" w:cs="Times New Roman"/>
                      <w:sz w:val="18"/>
                      <w:szCs w:val="18"/>
                    </w:rPr>
                    <w:t>）</w:t>
                  </w:r>
                </w:p>
              </w:tc>
              <w:tc>
                <w:tcPr>
                  <w:tcW w:w="689" w:type="dxa"/>
                  <w:vAlign w:val="center"/>
                </w:tcPr>
                <w:p>
                  <w:pPr>
                    <w:autoSpaceDE w:val="0"/>
                    <w:autoSpaceDN w:val="0"/>
                    <w:jc w:val="center"/>
                    <w:rPr>
                      <w:rFonts w:cs="Times New Roman"/>
                      <w:sz w:val="18"/>
                      <w:szCs w:val="18"/>
                    </w:rPr>
                  </w:pPr>
                  <w:r>
                    <w:rPr>
                      <w:rFonts w:hint="eastAsia" w:cs="Times New Roman"/>
                      <w:sz w:val="18"/>
                      <w:szCs w:val="18"/>
                    </w:rPr>
                    <w:t>（</w:t>
                  </w:r>
                  <w:r>
                    <w:rPr>
                      <w:rFonts w:cs="Times New Roman"/>
                      <w:sz w:val="18"/>
                      <w:szCs w:val="18"/>
                    </w:rPr>
                    <w:t>50</w:t>
                  </w:r>
                  <w:r>
                    <w:rPr>
                      <w:rFonts w:hint="eastAsia" w:cs="Times New Roman"/>
                      <w:sz w:val="18"/>
                      <w:szCs w:val="18"/>
                    </w:rPr>
                    <w:t>）</w:t>
                  </w:r>
                </w:p>
              </w:tc>
              <w:tc>
                <w:tcPr>
                  <w:tcW w:w="1418" w:type="dxa"/>
                  <w:vAlign w:val="center"/>
                </w:tcPr>
                <w:p>
                  <w:pPr>
                    <w:autoSpaceDE w:val="0"/>
                    <w:autoSpaceDN w:val="0"/>
                    <w:jc w:val="center"/>
                    <w:rPr>
                      <w:rFonts w:cs="Times New Roman"/>
                      <w:sz w:val="18"/>
                      <w:szCs w:val="18"/>
                    </w:rPr>
                  </w:pPr>
                  <w:r>
                    <w:rPr>
                      <w:rFonts w:cs="Times New Roman"/>
                      <w:sz w:val="18"/>
                      <w:szCs w:val="18"/>
                    </w:rPr>
                    <w:t>/</w:t>
                  </w:r>
                </w:p>
              </w:tc>
              <w:tc>
                <w:tcPr>
                  <w:tcW w:w="709" w:type="dxa"/>
                  <w:vAlign w:val="center"/>
                </w:tcPr>
                <w:p>
                  <w:pPr>
                    <w:autoSpaceDE w:val="0"/>
                    <w:autoSpaceDN w:val="0"/>
                    <w:jc w:val="center"/>
                    <w:rPr>
                      <w:rFonts w:cs="Times New Roman"/>
                      <w:sz w:val="18"/>
                      <w:szCs w:val="18"/>
                    </w:rPr>
                  </w:pPr>
                  <w:r>
                    <w:rPr>
                      <w:rFonts w:hint="eastAsia" w:cs="Times New Roman"/>
                      <w:sz w:val="18"/>
                      <w:szCs w:val="18"/>
                    </w:rPr>
                    <w:t>（</w:t>
                  </w:r>
                  <w:r>
                    <w:rPr>
                      <w:rFonts w:cs="Times New Roman"/>
                      <w:sz w:val="18"/>
                      <w:szCs w:val="18"/>
                    </w:rPr>
                    <w:t>100</w:t>
                  </w:r>
                  <w:r>
                    <w:rPr>
                      <w:rFonts w:hint="eastAsia" w:cs="Times New Roman"/>
                      <w:sz w:val="18"/>
                      <w:szCs w:val="18"/>
                    </w:rPr>
                    <w:t>）</w:t>
                  </w:r>
                </w:p>
              </w:tc>
              <w:tc>
                <w:tcPr>
                  <w:tcW w:w="1733" w:type="dxa"/>
                  <w:vAlign w:val="center"/>
                </w:tcPr>
                <w:p>
                  <w:pPr>
                    <w:autoSpaceDE w:val="0"/>
                    <w:autoSpaceDN w:val="0"/>
                    <w:jc w:val="center"/>
                    <w:rPr>
                      <w:rFonts w:cs="Times New Roman"/>
                      <w:sz w:val="18"/>
                      <w:szCs w:val="18"/>
                    </w:rPr>
                  </w:pPr>
                  <w:r>
                    <w:rPr>
                      <w:rFonts w:cs="Times New Roman"/>
                      <w:sz w:val="18"/>
                      <w:szCs w:val="18"/>
                    </w:rPr>
                    <w:t>临时占地</w:t>
                  </w:r>
                </w:p>
                <w:p>
                  <w:pPr>
                    <w:autoSpaceDE w:val="0"/>
                    <w:autoSpaceDN w:val="0"/>
                    <w:jc w:val="center"/>
                    <w:rPr>
                      <w:rFonts w:cs="Times New Roman"/>
                      <w:sz w:val="18"/>
                      <w:szCs w:val="18"/>
                    </w:rPr>
                  </w:pPr>
                  <w:r>
                    <w:rPr>
                      <w:rFonts w:hint="eastAsia" w:cs="Times New Roman"/>
                      <w:sz w:val="18"/>
                      <w:szCs w:val="18"/>
                    </w:rPr>
                    <w:t>（利用永久占地）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36" w:type="dxa"/>
                  <w:gridSpan w:val="2"/>
                  <w:vAlign w:val="center"/>
                </w:tcPr>
                <w:p>
                  <w:pPr>
                    <w:autoSpaceDE w:val="0"/>
                    <w:autoSpaceDN w:val="0"/>
                    <w:jc w:val="center"/>
                    <w:rPr>
                      <w:rFonts w:cs="Times New Roman"/>
                      <w:sz w:val="18"/>
                      <w:szCs w:val="18"/>
                    </w:rPr>
                  </w:pPr>
                  <w:r>
                    <w:rPr>
                      <w:rFonts w:cs="Times New Roman"/>
                      <w:sz w:val="18"/>
                      <w:szCs w:val="18"/>
                    </w:rPr>
                    <w:t>合计</w:t>
                  </w:r>
                </w:p>
              </w:tc>
              <w:tc>
                <w:tcPr>
                  <w:tcW w:w="925" w:type="dxa"/>
                  <w:vAlign w:val="center"/>
                </w:tcPr>
                <w:p>
                  <w:pPr>
                    <w:autoSpaceDE w:val="0"/>
                    <w:autoSpaceDN w:val="0"/>
                    <w:jc w:val="center"/>
                    <w:rPr>
                      <w:rFonts w:cs="Times New Roman"/>
                      <w:sz w:val="18"/>
                      <w:szCs w:val="18"/>
                    </w:rPr>
                  </w:pPr>
                  <w:r>
                    <w:rPr>
                      <w:rFonts w:cs="Times New Roman"/>
                      <w:sz w:val="18"/>
                      <w:szCs w:val="18"/>
                    </w:rPr>
                    <w:t>/</w:t>
                  </w:r>
                </w:p>
              </w:tc>
              <w:tc>
                <w:tcPr>
                  <w:tcW w:w="939" w:type="dxa"/>
                  <w:vAlign w:val="center"/>
                </w:tcPr>
                <w:p>
                  <w:pPr>
                    <w:autoSpaceDE w:val="0"/>
                    <w:autoSpaceDN w:val="0"/>
                    <w:jc w:val="center"/>
                    <w:rPr>
                      <w:rFonts w:cs="Times New Roman"/>
                      <w:sz w:val="18"/>
                      <w:szCs w:val="18"/>
                    </w:rPr>
                  </w:pPr>
                  <w:r>
                    <w:rPr>
                      <w:rFonts w:cs="Times New Roman"/>
                      <w:sz w:val="18"/>
                      <w:szCs w:val="18"/>
                    </w:rPr>
                    <w:t>/</w:t>
                  </w:r>
                </w:p>
              </w:tc>
              <w:tc>
                <w:tcPr>
                  <w:tcW w:w="689" w:type="dxa"/>
                  <w:vAlign w:val="center"/>
                </w:tcPr>
                <w:p>
                  <w:pPr>
                    <w:autoSpaceDE w:val="0"/>
                    <w:autoSpaceDN w:val="0"/>
                    <w:jc w:val="center"/>
                    <w:rPr>
                      <w:rFonts w:cs="Times New Roman"/>
                      <w:sz w:val="18"/>
                      <w:szCs w:val="18"/>
                    </w:rPr>
                  </w:pPr>
                  <w:r>
                    <w:rPr>
                      <w:rFonts w:cs="Times New Roman"/>
                      <w:sz w:val="18"/>
                      <w:szCs w:val="18"/>
                    </w:rPr>
                    <w:t>/</w:t>
                  </w:r>
                </w:p>
              </w:tc>
              <w:tc>
                <w:tcPr>
                  <w:tcW w:w="1418" w:type="dxa"/>
                  <w:vAlign w:val="center"/>
                </w:tcPr>
                <w:p>
                  <w:pPr>
                    <w:autoSpaceDE w:val="0"/>
                    <w:autoSpaceDN w:val="0"/>
                    <w:jc w:val="center"/>
                    <w:rPr>
                      <w:rFonts w:cs="Times New Roman"/>
                      <w:sz w:val="18"/>
                      <w:szCs w:val="18"/>
                    </w:rPr>
                  </w:pPr>
                  <w:r>
                    <w:rPr>
                      <w:rFonts w:cs="Times New Roman"/>
                      <w:sz w:val="18"/>
                      <w:szCs w:val="18"/>
                    </w:rPr>
                    <w:t>/</w:t>
                  </w:r>
                </w:p>
              </w:tc>
              <w:tc>
                <w:tcPr>
                  <w:tcW w:w="709" w:type="dxa"/>
                  <w:vAlign w:val="center"/>
                </w:tcPr>
                <w:p>
                  <w:pPr>
                    <w:autoSpaceDE w:val="0"/>
                    <w:autoSpaceDN w:val="0"/>
                    <w:jc w:val="center"/>
                    <w:rPr>
                      <w:rFonts w:cs="Times New Roman"/>
                      <w:sz w:val="18"/>
                      <w:szCs w:val="18"/>
                    </w:rPr>
                  </w:pPr>
                  <w:r>
                    <w:rPr>
                      <w:rFonts w:cs="Times New Roman"/>
                      <w:sz w:val="18"/>
                      <w:szCs w:val="18"/>
                    </w:rPr>
                    <w:t>300</w:t>
                  </w:r>
                </w:p>
              </w:tc>
              <w:tc>
                <w:tcPr>
                  <w:tcW w:w="1733" w:type="dxa"/>
                  <w:vAlign w:val="center"/>
                </w:tcPr>
                <w:p>
                  <w:pPr>
                    <w:autoSpaceDE w:val="0"/>
                    <w:autoSpaceDN w:val="0"/>
                    <w:jc w:val="center"/>
                    <w:rPr>
                      <w:rFonts w:cs="Times New Roman"/>
                      <w:sz w:val="18"/>
                      <w:szCs w:val="18"/>
                    </w:rPr>
                  </w:pPr>
                  <w:r>
                    <w:rPr>
                      <w:rFonts w:cs="Times New Roman"/>
                      <w:sz w:val="18"/>
                      <w:szCs w:val="18"/>
                    </w:rPr>
                    <w:t>/</w:t>
                  </w:r>
                </w:p>
              </w:tc>
            </w:tr>
          </w:tbl>
          <w:p>
            <w:pPr>
              <w:keepLines/>
              <w:numPr>
                <w:ilvl w:val="0"/>
                <w:numId w:val="4"/>
              </w:numPr>
              <w:adjustRightInd w:val="0"/>
              <w:spacing w:line="360" w:lineRule="auto"/>
              <w:outlineLvl w:val="1"/>
              <w:rPr>
                <w:rFonts w:eastAsia="黑体" w:cs="Times New Roman"/>
                <w:bCs/>
                <w:szCs w:val="32"/>
              </w:rPr>
            </w:pPr>
            <w:r>
              <w:rPr>
                <w:rFonts w:eastAsia="黑体" w:cs="Times New Roman"/>
                <w:bCs/>
                <w:szCs w:val="32"/>
              </w:rPr>
              <w:t>施工工艺和方法</w:t>
            </w:r>
          </w:p>
          <w:p>
            <w:pPr>
              <w:keepLines/>
              <w:adjustRightInd w:val="0"/>
              <w:spacing w:line="360" w:lineRule="auto"/>
              <w:ind w:firstLine="420" w:firstLineChars="200"/>
              <w:outlineLvl w:val="1"/>
              <w:rPr>
                <w:rFonts w:cs="Times New Roman"/>
                <w:bCs/>
                <w:szCs w:val="32"/>
              </w:rPr>
            </w:pPr>
            <w:r>
              <w:rPr>
                <w:rFonts w:cs="Times New Roman"/>
                <w:bCs/>
                <w:szCs w:val="32"/>
              </w:rPr>
              <w:fldChar w:fldCharType="begin"/>
            </w:r>
            <w:r>
              <w:rPr>
                <w:rFonts w:cs="Times New Roman"/>
                <w:bCs/>
                <w:szCs w:val="32"/>
              </w:rPr>
              <w:instrText xml:space="preserve"> = 1 \* GB3 </w:instrText>
            </w:r>
            <w:r>
              <w:rPr>
                <w:rFonts w:cs="Times New Roman"/>
                <w:bCs/>
                <w:szCs w:val="32"/>
              </w:rPr>
              <w:fldChar w:fldCharType="separate"/>
            </w:r>
            <w:r>
              <w:rPr>
                <w:rFonts w:cs="Times New Roman"/>
                <w:bCs/>
                <w:szCs w:val="32"/>
              </w:rPr>
              <w:t>①</w:t>
            </w:r>
            <w:r>
              <w:rPr>
                <w:rFonts w:cs="Times New Roman"/>
                <w:bCs/>
                <w:szCs w:val="32"/>
              </w:rPr>
              <w:fldChar w:fldCharType="end"/>
            </w:r>
            <w:r>
              <w:rPr>
                <w:rFonts w:cs="Times New Roman"/>
                <w:bCs/>
                <w:szCs w:val="32"/>
              </w:rPr>
              <w:t xml:space="preserve"> 基础施工</w:t>
            </w:r>
          </w:p>
          <w:p>
            <w:pPr>
              <w:keepLines/>
              <w:adjustRightInd w:val="0"/>
              <w:spacing w:line="360" w:lineRule="auto"/>
              <w:ind w:firstLine="420" w:firstLineChars="200"/>
              <w:outlineLvl w:val="1"/>
              <w:rPr>
                <w:rFonts w:cs="Times New Roman"/>
                <w:bCs/>
                <w:szCs w:val="32"/>
              </w:rPr>
            </w:pPr>
            <w:r>
              <w:rPr>
                <w:rFonts w:cs="Times New Roman"/>
                <w:bCs/>
                <w:szCs w:val="32"/>
              </w:rPr>
              <w:t>本</w:t>
            </w:r>
            <w:r>
              <w:rPr>
                <w:rFonts w:hint="eastAsia" w:cs="Times New Roman"/>
                <w:bCs/>
                <w:szCs w:val="32"/>
              </w:rPr>
              <w:t>项目拟建架空</w:t>
            </w:r>
            <w:r>
              <w:rPr>
                <w:rFonts w:cs="Times New Roman"/>
                <w:bCs/>
                <w:szCs w:val="32"/>
              </w:rPr>
              <w:t>线路基础采用掏挖基础</w:t>
            </w:r>
            <w:r>
              <w:rPr>
                <w:rFonts w:hint="eastAsia" w:cs="Times New Roman"/>
                <w:bCs/>
                <w:szCs w:val="32"/>
              </w:rPr>
              <w:t>、灌注桩基础</w:t>
            </w:r>
            <w:r>
              <w:rPr>
                <w:rFonts w:cs="Times New Roman"/>
                <w:bCs/>
                <w:szCs w:val="32"/>
              </w:rPr>
              <w:t>。</w:t>
            </w:r>
            <w:r>
              <w:rPr>
                <w:rFonts w:hint="eastAsia" w:cs="Times New Roman"/>
                <w:bCs/>
                <w:szCs w:val="32"/>
              </w:rPr>
              <w:t>以人工或机械掏挖基坑成型，然后再浇灌混凝土的铁塔基础，能有效降低基坑土方开挖量，减少施工弃土对自然地表的破坏，灌注桩基础成孔采用旋挖钻机，掏挖基础采用风镐等半机械化设备</w:t>
            </w:r>
            <w:r>
              <w:rPr>
                <w:rFonts w:cs="Times New Roman"/>
                <w:bCs/>
                <w:szCs w:val="32"/>
              </w:rPr>
              <w:t>。</w:t>
            </w:r>
          </w:p>
          <w:p>
            <w:pPr>
              <w:keepLines/>
              <w:adjustRightInd w:val="0"/>
              <w:spacing w:line="360" w:lineRule="auto"/>
              <w:ind w:firstLine="420" w:firstLineChars="200"/>
              <w:outlineLvl w:val="1"/>
              <w:rPr>
                <w:rFonts w:cs="Times New Roman"/>
                <w:bCs/>
                <w:szCs w:val="32"/>
              </w:rPr>
            </w:pPr>
            <w:r>
              <w:rPr>
                <w:rFonts w:cs="Times New Roman"/>
                <w:bCs/>
                <w:szCs w:val="32"/>
              </w:rPr>
              <w:fldChar w:fldCharType="begin"/>
            </w:r>
            <w:r>
              <w:rPr>
                <w:rFonts w:cs="Times New Roman"/>
                <w:bCs/>
                <w:szCs w:val="32"/>
              </w:rPr>
              <w:instrText xml:space="preserve"> = 2 \* GB3 </w:instrText>
            </w:r>
            <w:r>
              <w:rPr>
                <w:rFonts w:cs="Times New Roman"/>
                <w:bCs/>
                <w:szCs w:val="32"/>
              </w:rPr>
              <w:fldChar w:fldCharType="separate"/>
            </w:r>
            <w:r>
              <w:rPr>
                <w:rFonts w:cs="Times New Roman"/>
                <w:bCs/>
                <w:szCs w:val="32"/>
              </w:rPr>
              <w:t>②</w:t>
            </w:r>
            <w:r>
              <w:rPr>
                <w:rFonts w:cs="Times New Roman"/>
                <w:bCs/>
                <w:szCs w:val="32"/>
              </w:rPr>
              <w:fldChar w:fldCharType="end"/>
            </w:r>
            <w:r>
              <w:rPr>
                <w:rFonts w:cs="Times New Roman"/>
                <w:bCs/>
                <w:szCs w:val="32"/>
              </w:rPr>
              <w:t xml:space="preserve"> 杆塔组立</w:t>
            </w:r>
          </w:p>
          <w:p>
            <w:pPr>
              <w:pStyle w:val="24"/>
              <w:ind w:firstLine="420"/>
              <w:rPr>
                <w:rFonts w:cs="Times New Roman"/>
                <w:bCs/>
                <w:szCs w:val="32"/>
              </w:rPr>
            </w:pPr>
            <w:r>
              <w:rPr>
                <w:rFonts w:cs="Times New Roman"/>
                <w:bCs/>
                <w:szCs w:val="32"/>
              </w:rPr>
              <w:t>本</w:t>
            </w:r>
            <w:r>
              <w:rPr>
                <w:rFonts w:hint="eastAsia" w:cs="Times New Roman"/>
                <w:bCs/>
                <w:szCs w:val="32"/>
              </w:rPr>
              <w:t>项目拟建</w:t>
            </w:r>
            <w:r>
              <w:rPr>
                <w:rFonts w:cs="Times New Roman"/>
                <w:bCs/>
                <w:szCs w:val="32"/>
              </w:rPr>
              <w:t>杆塔选用</w:t>
            </w:r>
            <w:r>
              <w:rPr>
                <w:rFonts w:hint="eastAsia" w:cs="Times New Roman"/>
                <w:bCs/>
                <w:szCs w:val="32"/>
              </w:rPr>
              <w:t>自行设计1D5-SDJC1,1SKGT，SJK32</w:t>
            </w:r>
            <w:r>
              <w:rPr>
                <w:rFonts w:cs="Times New Roman"/>
                <w:bCs/>
                <w:szCs w:val="32"/>
              </w:rPr>
              <w:t>系列铁塔，本</w:t>
            </w:r>
            <w:r>
              <w:rPr>
                <w:rFonts w:hint="eastAsia" w:cs="Times New Roman"/>
                <w:bCs/>
                <w:szCs w:val="32"/>
              </w:rPr>
              <w:t>项目新建双回路杆塔4基</w:t>
            </w:r>
            <w:r>
              <w:rPr>
                <w:rFonts w:cs="Times New Roman"/>
                <w:bCs/>
                <w:szCs w:val="32"/>
              </w:rPr>
              <w:t>。根据现场地形等施工条件采用适当的施工工艺，</w:t>
            </w:r>
            <w:r>
              <w:rPr>
                <w:rFonts w:hint="eastAsia" w:cs="Times New Roman"/>
                <w:bCs/>
                <w:szCs w:val="32"/>
              </w:rPr>
              <w:t>杆塔设计时考虑预留机械吊装和施工用孔，1基杆塔采用吊车组立，其余杆塔采用悬浮抱杆组立。</w:t>
            </w:r>
          </w:p>
          <w:p>
            <w:pPr>
              <w:pStyle w:val="24"/>
              <w:ind w:firstLine="420"/>
              <w:rPr>
                <w:rFonts w:cs="Times New Roman"/>
              </w:rPr>
            </w:pPr>
            <w:r>
              <w:rPr>
                <w:rFonts w:cs="Times New Roman"/>
              </w:rPr>
              <w:t>③ 导线架设</w:t>
            </w:r>
          </w:p>
          <w:p>
            <w:pPr>
              <w:pStyle w:val="24"/>
              <w:ind w:firstLine="420"/>
              <w:rPr>
                <w:rFonts w:cs="Times New Roman"/>
              </w:rPr>
            </w:pPr>
            <w:r>
              <w:rPr>
                <w:rFonts w:cs="Times New Roman"/>
              </w:rPr>
              <w:t>工程架空线、地线均采用张力放线。主要分为防线准备、导引绳展放、导线牵引、紧线、附件安装等，初级导引绳采用无人机展放，导、地线采用牵引机、张力机展放</w:t>
            </w:r>
            <w:r>
              <w:rPr>
                <w:rFonts w:hint="eastAsia" w:cs="Times New Roman"/>
              </w:rPr>
              <w:t>，</w:t>
            </w:r>
            <w:r>
              <w:rPr>
                <w:rFonts w:cs="Times New Roman"/>
                <w:kern w:val="0"/>
                <w:lang w:val="zh-CN"/>
              </w:rPr>
              <w:t>牵张场应选择地势平坦的未利用地进行布置，施工结束后，占地区按原有土地利用类型进行恢复</w:t>
            </w:r>
            <w:r>
              <w:rPr>
                <w:rFonts w:cs="Times New Roman"/>
              </w:rPr>
              <w:t>。</w:t>
            </w:r>
          </w:p>
          <w:p>
            <w:pPr>
              <w:pStyle w:val="24"/>
              <w:ind w:firstLine="420"/>
              <w:rPr>
                <w:rFonts w:cs="Times New Roman"/>
                <w:bCs/>
                <w:szCs w:val="32"/>
              </w:rPr>
            </w:pPr>
            <w:r>
              <w:rPr>
                <w:rFonts w:cs="Times New Roman"/>
              </w:rPr>
              <w:fldChar w:fldCharType="begin"/>
            </w:r>
            <w:r>
              <w:rPr>
                <w:rFonts w:cs="Times New Roman"/>
              </w:rPr>
              <w:instrText xml:space="preserve"> = 4 \* GB3 </w:instrText>
            </w:r>
            <w:r>
              <w:rPr>
                <w:rFonts w:cs="Times New Roman"/>
              </w:rPr>
              <w:fldChar w:fldCharType="separate"/>
            </w:r>
            <w:r>
              <w:rPr>
                <w:rFonts w:hint="eastAsia" w:ascii="宋体" w:hAnsi="宋体" w:cs="宋体"/>
              </w:rPr>
              <w:t>④</w:t>
            </w:r>
            <w:r>
              <w:rPr>
                <w:rFonts w:cs="Times New Roman"/>
              </w:rPr>
              <w:fldChar w:fldCharType="end"/>
            </w:r>
            <w:r>
              <w:rPr>
                <w:rFonts w:cs="Times New Roman"/>
                <w:bCs/>
                <w:szCs w:val="32"/>
              </w:rPr>
              <w:t>拆旧工程施工</w:t>
            </w:r>
          </w:p>
          <w:p>
            <w:pPr>
              <w:pStyle w:val="24"/>
              <w:ind w:firstLine="420"/>
              <w:rPr>
                <w:rFonts w:cs="Times New Roman"/>
              </w:rPr>
            </w:pPr>
            <w:r>
              <w:rPr>
                <w:rFonts w:cs="Times New Roman"/>
              </w:rPr>
              <w:t>旧线路拆除工作分为拆除前准备工作、导地线拆除、铁塔拆除几个施工阶段。根据杆塔特点分解拆除，采用先拆导、地线，再拆杆塔，最后挖掘基础，采用张力牵引放线拆除导线。拆解完成后的旧导线、金具</w:t>
            </w:r>
            <w:r>
              <w:rPr>
                <w:rFonts w:hint="eastAsia" w:cs="Times New Roman"/>
              </w:rPr>
              <w:t>等</w:t>
            </w:r>
            <w:r>
              <w:rPr>
                <w:rFonts w:cs="Times New Roman"/>
              </w:rPr>
              <w:t>按型号分类收集后运至建设单位物资部门，妥善存放。</w:t>
            </w:r>
          </w:p>
          <w:p>
            <w:pPr>
              <w:pStyle w:val="24"/>
              <w:ind w:firstLine="420"/>
              <w:rPr>
                <w:rFonts w:cs="Times New Roman"/>
              </w:rPr>
            </w:pPr>
            <w:r>
              <w:rPr>
                <w:rFonts w:hint="eastAsia" w:ascii="宋体" w:hAnsi="宋体" w:cs="宋体"/>
              </w:rPr>
              <w:t>⑤</w:t>
            </w:r>
            <w:r>
              <w:rPr>
                <w:rFonts w:cs="Times New Roman"/>
              </w:rPr>
              <w:t>主要施工机械</w:t>
            </w:r>
          </w:p>
          <w:p>
            <w:pPr>
              <w:pStyle w:val="24"/>
              <w:ind w:firstLine="420"/>
              <w:rPr>
                <w:rFonts w:cs="Times New Roman"/>
              </w:rPr>
            </w:pPr>
            <w:r>
              <w:rPr>
                <w:rFonts w:cs="Times New Roman"/>
              </w:rPr>
              <w:t>主要施工机械有污水泵、送电专用载重汽车、牵引机组、张力机组、送电专用汽车式起重机、柴油发电机、机动绞磨、滚筒式混凝土搅拌机、液压压接机、钢筋切断机、卷扬机、混凝土振捣器、电锯等。</w:t>
            </w:r>
          </w:p>
          <w:p>
            <w:pPr>
              <w:keepLines/>
              <w:numPr>
                <w:ilvl w:val="0"/>
                <w:numId w:val="4"/>
              </w:numPr>
              <w:adjustRightInd w:val="0"/>
              <w:spacing w:line="360" w:lineRule="auto"/>
              <w:outlineLvl w:val="1"/>
              <w:rPr>
                <w:rFonts w:eastAsia="黑体" w:cs="Times New Roman"/>
                <w:bCs/>
                <w:szCs w:val="32"/>
              </w:rPr>
            </w:pPr>
            <w:r>
              <w:rPr>
                <w:rFonts w:eastAsia="黑体" w:cs="Times New Roman"/>
                <w:bCs/>
                <w:szCs w:val="32"/>
              </w:rPr>
              <w:t>施工时序及建设周期</w:t>
            </w:r>
          </w:p>
          <w:p>
            <w:pPr>
              <w:keepLines/>
              <w:adjustRightInd w:val="0"/>
              <w:spacing w:line="360" w:lineRule="auto"/>
              <w:ind w:firstLine="420" w:firstLineChars="200"/>
              <w:outlineLvl w:val="1"/>
              <w:rPr>
                <w:rFonts w:cs="Times New Roman"/>
                <w:bCs/>
                <w:szCs w:val="32"/>
                <w:highlight w:val="yellow"/>
              </w:rPr>
            </w:pPr>
            <w:r>
              <w:rPr>
                <w:rFonts w:cs="Times New Roman"/>
                <w:bCs/>
                <w:szCs w:val="32"/>
              </w:rPr>
              <w:t>现阶段计划2023年9</w:t>
            </w:r>
            <w:r>
              <w:rPr>
                <w:rFonts w:hint="eastAsia" w:cs="Times New Roman"/>
                <w:bCs/>
                <w:szCs w:val="32"/>
              </w:rPr>
              <w:t>月</w:t>
            </w:r>
            <w:r>
              <w:rPr>
                <w:rFonts w:cs="Times New Roman"/>
                <w:bCs/>
                <w:szCs w:val="32"/>
              </w:rPr>
              <w:t>开工，于2023年12</w:t>
            </w:r>
            <w:r>
              <w:rPr>
                <w:rFonts w:hint="eastAsia" w:cs="Times New Roman"/>
                <w:bCs/>
                <w:szCs w:val="32"/>
              </w:rPr>
              <w:t>月</w:t>
            </w:r>
            <w:r>
              <w:rPr>
                <w:rFonts w:cs="Times New Roman"/>
                <w:bCs/>
                <w:szCs w:val="32"/>
              </w:rPr>
              <w:t>建成投产，建设周期约3个月。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70" w:hRule="atLeast"/>
          <w:jc w:val="center"/>
        </w:trPr>
        <w:tc>
          <w:tcPr>
            <w:tcW w:w="557" w:type="dxa"/>
            <w:vAlign w:val="center"/>
          </w:tcPr>
          <w:p>
            <w:pPr>
              <w:adjustRightInd w:val="0"/>
              <w:snapToGrid w:val="0"/>
              <w:jc w:val="center"/>
              <w:rPr>
                <w:rFonts w:eastAsia="黑体" w:cs="Times New Roman"/>
                <w:kern w:val="0"/>
                <w:szCs w:val="21"/>
              </w:rPr>
            </w:pPr>
            <w:r>
              <w:rPr>
                <w:rFonts w:eastAsia="黑体" w:cs="Times New Roman"/>
                <w:kern w:val="0"/>
                <w:szCs w:val="21"/>
              </w:rPr>
              <w:t>其他</w:t>
            </w:r>
          </w:p>
        </w:tc>
        <w:tc>
          <w:tcPr>
            <w:tcW w:w="8533" w:type="dxa"/>
            <w:vAlign w:val="center"/>
          </w:tcPr>
          <w:p>
            <w:pPr>
              <w:keepLines/>
              <w:adjustRightInd w:val="0"/>
              <w:spacing w:line="360" w:lineRule="auto"/>
              <w:jc w:val="center"/>
              <w:outlineLvl w:val="1"/>
              <w:rPr>
                <w:rFonts w:cs="Times New Roman"/>
                <w:bCs/>
                <w:szCs w:val="32"/>
              </w:rPr>
            </w:pPr>
            <w:r>
              <w:rPr>
                <w:rFonts w:cs="Times New Roman"/>
                <w:bCs/>
                <w:szCs w:val="32"/>
              </w:rPr>
              <w:t>无</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tc>
      </w:tr>
    </w:tbl>
    <w:p>
      <w:pPr>
        <w:rPr>
          <w:rFonts w:cs="Times New Roman"/>
        </w:rPr>
        <w:sectPr>
          <w:pgSz w:w="11906" w:h="16838"/>
          <w:pgMar w:top="1418" w:right="1418" w:bottom="1418" w:left="1418" w:header="851" w:footer="992" w:gutter="0"/>
          <w:cols w:space="425" w:num="1"/>
          <w:docGrid w:type="lines" w:linePitch="312" w:charSpace="0"/>
        </w:sectPr>
      </w:pPr>
    </w:p>
    <w:p>
      <w:pPr>
        <w:keepNext/>
        <w:spacing w:line="0" w:lineRule="atLeast"/>
        <w:jc w:val="center"/>
        <w:outlineLvl w:val="0"/>
        <w:rPr>
          <w:rFonts w:eastAsia="黑体" w:cs="Times New Roman"/>
          <w:bCs/>
          <w:sz w:val="28"/>
          <w:szCs w:val="28"/>
        </w:rPr>
      </w:pPr>
      <w:bookmarkStart w:id="7" w:name="_Toc103786368"/>
      <w:bookmarkStart w:id="8" w:name="_Toc69466520"/>
      <w:r>
        <w:rPr>
          <w:rFonts w:eastAsia="黑体" w:cs="Times New Roman"/>
          <w:bCs/>
          <w:sz w:val="28"/>
          <w:szCs w:val="28"/>
        </w:rPr>
        <w:t>三、生态环境现状、保护目标及评价标准</w:t>
      </w:r>
      <w:bookmarkEnd w:id="7"/>
      <w:bookmarkEnd w:id="8"/>
    </w:p>
    <w:tbl>
      <w:tblPr>
        <w:tblStyle w:val="25"/>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314"/>
        <w:gridCol w:w="887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825" w:hRule="atLeast"/>
          <w:jc w:val="center"/>
        </w:trPr>
        <w:tc>
          <w:tcPr>
            <w:tcW w:w="402" w:type="dxa"/>
            <w:vAlign w:val="center"/>
          </w:tcPr>
          <w:p>
            <w:pPr>
              <w:adjustRightInd w:val="0"/>
              <w:snapToGrid w:val="0"/>
              <w:jc w:val="center"/>
              <w:rPr>
                <w:rFonts w:eastAsia="黑体" w:cs="Times New Roman"/>
                <w:kern w:val="0"/>
                <w:szCs w:val="21"/>
                <w:highlight w:val="yellow"/>
              </w:rPr>
            </w:pPr>
            <w:r>
              <w:rPr>
                <w:rFonts w:eastAsia="黑体" w:cs="Times New Roman"/>
                <w:kern w:val="0"/>
                <w:szCs w:val="21"/>
              </w:rPr>
              <w:t>生态环境现状</w:t>
            </w:r>
          </w:p>
        </w:tc>
        <w:tc>
          <w:tcPr>
            <w:tcW w:w="8755" w:type="dxa"/>
            <w:vAlign w:val="center"/>
          </w:tcPr>
          <w:p>
            <w:pPr>
              <w:pStyle w:val="32"/>
              <w:keepLines/>
              <w:numPr>
                <w:ilvl w:val="0"/>
                <w:numId w:val="5"/>
              </w:numPr>
              <w:spacing w:line="360" w:lineRule="auto"/>
              <w:ind w:firstLineChars="0"/>
              <w:outlineLvl w:val="1"/>
              <w:rPr>
                <w:rFonts w:eastAsia="黑体" w:cs="Times New Roman"/>
                <w:bCs/>
                <w:szCs w:val="32"/>
              </w:rPr>
            </w:pPr>
            <w:r>
              <w:rPr>
                <w:rFonts w:eastAsia="黑体" w:cs="Times New Roman"/>
                <w:bCs/>
                <w:szCs w:val="32"/>
              </w:rPr>
              <w:t>主体功能区划</w:t>
            </w:r>
          </w:p>
          <w:p>
            <w:pPr>
              <w:spacing w:line="360" w:lineRule="auto"/>
              <w:ind w:firstLine="420" w:firstLineChars="200"/>
              <w:rPr>
                <w:rFonts w:cs="Times New Roman"/>
                <w:szCs w:val="21"/>
              </w:rPr>
            </w:pPr>
            <w:r>
              <w:rPr>
                <w:rFonts w:hint="eastAsia" w:cs="Times New Roman"/>
                <w:szCs w:val="21"/>
              </w:rPr>
              <w:t>（1）主体功能区规划</w:t>
            </w:r>
          </w:p>
          <w:p>
            <w:pPr>
              <w:spacing w:line="360" w:lineRule="auto"/>
              <w:ind w:firstLine="420" w:firstLineChars="200"/>
              <w:rPr>
                <w:rFonts w:cs="Times New Roman"/>
                <w:szCs w:val="21"/>
              </w:rPr>
            </w:pPr>
            <w:r>
              <w:rPr>
                <w:rFonts w:hint="eastAsia" w:cs="Times New Roman"/>
                <w:szCs w:val="21"/>
              </w:rPr>
              <w:t>根据浙江的省情特点，《浙江省主体功能区规划》（浙政发〔2013〕43号文）在国土开发综合评价的基础上，采用国土空间综合指数法、主导因素法和分层划区法等方法，原则上以县为基本单元，划分优化开发、重点开发、限制开发和禁止开发等四类区域，并将限制开发区域细分为农产品主产区、重点生态功能区和生态经济地区，形成全省主体功能区布局。</w:t>
            </w:r>
          </w:p>
          <w:p>
            <w:pPr>
              <w:spacing w:line="360" w:lineRule="auto"/>
              <w:ind w:firstLine="420" w:firstLineChars="200"/>
              <w:rPr>
                <w:rFonts w:cs="Times New Roman"/>
                <w:szCs w:val="21"/>
              </w:rPr>
            </w:pPr>
            <w:r>
              <w:rPr>
                <w:rFonts w:hint="eastAsia" w:cs="Times New Roman"/>
                <w:szCs w:val="21"/>
              </w:rPr>
              <w:t>本项目经过周王庙镇，属重点开发区域。重点开发区域是指具备以下条件的城市化地区：具有较强的经济基础，一定的科技创新能力和较好的发展潜力；城镇体系初步形成，有条件形成新的区域性城镇群；能够带动周边地区发展，促进全省区域协调发展。</w:t>
            </w:r>
          </w:p>
          <w:p>
            <w:pPr>
              <w:spacing w:line="360" w:lineRule="auto"/>
              <w:ind w:firstLine="420" w:firstLineChars="200"/>
              <w:rPr>
                <w:rFonts w:cs="Times New Roman"/>
                <w:szCs w:val="21"/>
              </w:rPr>
            </w:pPr>
            <w:r>
              <w:rPr>
                <w:rFonts w:hint="eastAsia" w:cs="Times New Roman"/>
                <w:szCs w:val="21"/>
              </w:rPr>
              <w:t>空间管制：有序拓展发展空间。适度扩大制造业、服务业和城市居住等建设空间，有序减少农村生活空间，增加绿色生态空间，统筹规划滩涂围垦和低丘缓坡开发。加快建设产业集聚区。推进产业转型升级和空间集聚，培育一批战略性新兴产业，整合提升开发区（园区），高标准、高水平建设产业集聚区。培育建设中心城市和城市新区。增强中心城市服务功能，拓展城市新区，统筹建设市政基础设施和公共服务设施，提高城市人居环境质量。保护农业和生态空间。加强基本农田、林地保护，避免土地过多占用和水资源过度开发等问题，着力提高生态环境质量。大力建设城郊蔬菜基地和养殖基地，保障区域内基本农产品供给。保护和预留未来发展空间。科学开发滩涂资源，合理划分岸线功能，严格保护自然岸线，为未来发展预留空间。目前尚不具备开发条件的区域要作为预留发展区域予以保护。</w:t>
            </w:r>
          </w:p>
          <w:p>
            <w:pPr>
              <w:spacing w:line="360" w:lineRule="auto"/>
              <w:ind w:firstLine="420" w:firstLineChars="200"/>
              <w:rPr>
                <w:rFonts w:cs="Times New Roman"/>
                <w:szCs w:val="21"/>
              </w:rPr>
            </w:pPr>
            <w:r>
              <w:rPr>
                <w:rFonts w:hint="eastAsia" w:cs="Times New Roman"/>
                <w:szCs w:val="21"/>
              </w:rPr>
              <w:t>本项目属于基础设施建设项目，符合《浙江省主体功能区规划》（浙政发〔2013〕43号文）相关要求。</w:t>
            </w:r>
          </w:p>
          <w:p>
            <w:pPr>
              <w:spacing w:line="360" w:lineRule="auto"/>
              <w:ind w:firstLine="420" w:firstLineChars="200"/>
              <w:rPr>
                <w:rFonts w:cs="Times New Roman"/>
                <w:szCs w:val="21"/>
              </w:rPr>
            </w:pPr>
            <w:r>
              <w:rPr>
                <w:rFonts w:hint="eastAsia" w:cs="Times New Roman"/>
                <w:szCs w:val="21"/>
              </w:rPr>
              <w:t>（</w:t>
            </w:r>
            <w:r>
              <w:rPr>
                <w:rFonts w:cs="Times New Roman"/>
                <w:szCs w:val="21"/>
              </w:rPr>
              <w:t>2</w:t>
            </w:r>
            <w:r>
              <w:rPr>
                <w:rFonts w:hint="eastAsia" w:cs="Times New Roman"/>
                <w:szCs w:val="21"/>
              </w:rPr>
              <w:t>）生态功能区划</w:t>
            </w:r>
          </w:p>
          <w:p>
            <w:pPr>
              <w:spacing w:line="360" w:lineRule="auto"/>
              <w:ind w:firstLine="420" w:firstLineChars="200"/>
              <w:rPr>
                <w:rFonts w:cs="Times New Roman"/>
                <w:szCs w:val="21"/>
              </w:rPr>
            </w:pPr>
            <w:r>
              <w:rPr>
                <w:rFonts w:hint="eastAsia" w:cs="Times New Roman"/>
                <w:szCs w:val="21"/>
              </w:rPr>
              <w:t>根据《全国生态功能区划（修编版）》（公告2015年第61号），本项目位于“III-01-02 长三角大都市群”，为人居保障生态功能区。</w:t>
            </w:r>
          </w:p>
          <w:p>
            <w:pPr>
              <w:spacing w:line="360" w:lineRule="auto"/>
              <w:ind w:firstLine="420" w:firstLineChars="200"/>
              <w:rPr>
                <w:rFonts w:cs="Times New Roman"/>
                <w:szCs w:val="21"/>
              </w:rPr>
            </w:pPr>
            <w:r>
              <w:rPr>
                <w:rFonts w:hint="eastAsia" w:cs="Times New Roman"/>
                <w:szCs w:val="21"/>
              </w:rPr>
              <w:t>大都市群主要指我国人口高度集中的城市群，主要包括：京津冀大都市群、珠三角大都市群和长三角大都市群生态功能区3个，面积共计10.8 万平方公里，占全国国土面积的1.1％。该类型区的主要生态问题：城市无限制扩张，生态承载力严重超载，生态功能低，污染严重，人居环境质量下降。该类型区生态保护主要方向：加强城市发展规划，控制城市规模，合理布局城市功能组团；加强生态城市建设，大力调整产业结构，提高资源利用效率，控制城市污染，推进循环经济和循环社会的建设。</w:t>
            </w:r>
          </w:p>
          <w:p>
            <w:pPr>
              <w:spacing w:line="360" w:lineRule="auto"/>
              <w:ind w:firstLine="420" w:firstLineChars="200"/>
              <w:rPr>
                <w:rFonts w:cs="Times New Roman"/>
                <w:szCs w:val="21"/>
              </w:rPr>
            </w:pPr>
            <w:r>
              <w:rPr>
                <w:rFonts w:hint="eastAsia" w:cs="Times New Roman"/>
                <w:szCs w:val="21"/>
              </w:rPr>
              <w:t>本项目属于基础设施建设项目，符合《全国生态功能区划（修编版）》（公告2015年第61号）相关要求。</w:t>
            </w:r>
          </w:p>
          <w:p>
            <w:pPr>
              <w:pStyle w:val="32"/>
              <w:keepLines/>
              <w:numPr>
                <w:ilvl w:val="0"/>
                <w:numId w:val="6"/>
              </w:numPr>
              <w:spacing w:line="360" w:lineRule="auto"/>
              <w:ind w:firstLineChars="0"/>
              <w:outlineLvl w:val="1"/>
              <w:rPr>
                <w:rFonts w:eastAsia="黑体" w:cs="Times New Roman"/>
                <w:bCs/>
                <w:szCs w:val="32"/>
              </w:rPr>
            </w:pPr>
            <w:r>
              <w:rPr>
                <w:rFonts w:eastAsia="黑体" w:cs="Times New Roman"/>
                <w:bCs/>
                <w:szCs w:val="32"/>
              </w:rPr>
              <w:t>生态环境现状</w:t>
            </w:r>
          </w:p>
          <w:p>
            <w:pPr>
              <w:spacing w:line="360" w:lineRule="auto"/>
              <w:ind w:firstLine="420" w:firstLineChars="200"/>
              <w:rPr>
                <w:rFonts w:cs="Times New Roman"/>
                <w:szCs w:val="21"/>
              </w:rPr>
            </w:pPr>
            <w:r>
              <w:rPr>
                <w:rFonts w:cs="Times New Roman"/>
                <w:szCs w:val="21"/>
              </w:rPr>
              <w:t>（1）土地利用类型</w:t>
            </w:r>
          </w:p>
          <w:p>
            <w:pPr>
              <w:spacing w:line="360" w:lineRule="auto"/>
              <w:ind w:firstLine="420" w:firstLineChars="200"/>
              <w:rPr>
                <w:rFonts w:cs="Times New Roman"/>
                <w:szCs w:val="21"/>
              </w:rPr>
            </w:pPr>
            <w:r>
              <w:rPr>
                <w:rFonts w:cs="Times New Roman"/>
                <w:szCs w:val="21"/>
              </w:rPr>
              <w:t>根据现场踏勘，</w:t>
            </w:r>
            <w:r>
              <w:rPr>
                <w:rFonts w:hint="eastAsia" w:cs="Times New Roman"/>
                <w:szCs w:val="21"/>
              </w:rPr>
              <w:t>本项目拟建架空线路主要沿农田架线，占地类型为</w:t>
            </w:r>
            <w:r>
              <w:rPr>
                <w:rFonts w:hint="eastAsia" w:cs="Times New Roman"/>
                <w:bCs/>
                <w:szCs w:val="32"/>
              </w:rPr>
              <w:t>建设用地、</w:t>
            </w:r>
            <w:r>
              <w:rPr>
                <w:rFonts w:hint="eastAsia" w:cs="Times New Roman"/>
                <w:szCs w:val="21"/>
              </w:rPr>
              <w:t>农用地、园地、交通运输用地等。</w:t>
            </w:r>
            <w:r>
              <w:rPr>
                <w:rFonts w:cs="Times New Roman"/>
                <w:szCs w:val="21"/>
              </w:rPr>
              <w:t>工程沿线区域</w:t>
            </w:r>
            <w:r>
              <w:rPr>
                <w:rFonts w:hint="eastAsia" w:cs="Times New Roman"/>
                <w:szCs w:val="21"/>
              </w:rPr>
              <w:t>地形地貌</w:t>
            </w:r>
            <w:r>
              <w:rPr>
                <w:rFonts w:cs="Times New Roman"/>
                <w:szCs w:val="21"/>
              </w:rPr>
              <w:t>见图3.2-1。</w:t>
            </w:r>
          </w:p>
          <w:p>
            <w:pPr>
              <w:spacing w:line="360" w:lineRule="auto"/>
              <w:ind w:firstLine="420" w:firstLineChars="200"/>
              <w:rPr>
                <w:rFonts w:cs="Times New Roman"/>
                <w:szCs w:val="21"/>
              </w:rPr>
            </w:pPr>
            <w:r>
              <w:rPr>
                <w:rFonts w:hint="eastAsia" w:cs="Times New Roman"/>
                <w:szCs w:val="21"/>
              </w:rPr>
              <w:t>本工程沿线土地利用现状图见附图</w:t>
            </w:r>
            <w:r>
              <w:rPr>
                <w:rFonts w:cs="Times New Roman"/>
                <w:szCs w:val="21"/>
              </w:rPr>
              <w:t>9</w:t>
            </w:r>
            <w:r>
              <w:rPr>
                <w:rFonts w:hint="eastAsia" w:cs="Times New Roman"/>
                <w:szCs w:val="21"/>
              </w:rPr>
              <w:t>。</w:t>
            </w:r>
          </w:p>
          <w:tbl>
            <w:tblPr>
              <w:tblStyle w:val="49"/>
              <w:tblW w:w="5000" w:type="pct"/>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28" w:type="dxa"/>
                <w:bottom w:w="0" w:type="dxa"/>
                <w:right w:w="28" w:type="dxa"/>
              </w:tblCellMar>
            </w:tblPr>
            <w:tblGrid>
              <w:gridCol w:w="4375"/>
              <w:gridCol w:w="43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397" w:hRule="atLeast"/>
              </w:trPr>
              <w:tc>
                <w:tcPr>
                  <w:tcW w:w="2500" w:type="pct"/>
                  <w:tcMar>
                    <w:left w:w="28" w:type="dxa"/>
                    <w:right w:w="28" w:type="dxa"/>
                  </w:tcMar>
                  <w:vAlign w:val="center"/>
                </w:tcPr>
                <w:p>
                  <w:pPr>
                    <w:adjustRightInd w:val="0"/>
                    <w:snapToGrid w:val="0"/>
                    <w:jc w:val="center"/>
                    <w:rPr>
                      <w:rFonts w:cs="Times New Roman"/>
                      <w:snapToGrid w:val="0"/>
                      <w:sz w:val="18"/>
                      <w:szCs w:val="18"/>
                    </w:rPr>
                  </w:pPr>
                  <w:r>
                    <w:rPr>
                      <w:rFonts w:cs="Times New Roman"/>
                      <w:sz w:val="18"/>
                    </w:rPr>
                    <mc:AlternateContent>
                      <mc:Choice Requires="wps">
                        <w:drawing>
                          <wp:anchor distT="0" distB="0" distL="114300" distR="114300" simplePos="0" relativeHeight="251660288" behindDoc="0" locked="0" layoutInCell="1" allowOverlap="1">
                            <wp:simplePos x="0" y="0"/>
                            <wp:positionH relativeFrom="column">
                              <wp:posOffset>201295</wp:posOffset>
                            </wp:positionH>
                            <wp:positionV relativeFrom="paragraph">
                              <wp:posOffset>1046480</wp:posOffset>
                            </wp:positionV>
                            <wp:extent cx="1245870" cy="199390"/>
                            <wp:effectExtent l="0" t="0" r="30480" b="29210"/>
                            <wp:wrapNone/>
                            <wp:docPr id="40" name="直接连接符 40"/>
                            <wp:cNvGraphicFramePr/>
                            <a:graphic xmlns:a="http://schemas.openxmlformats.org/drawingml/2006/main">
                              <a:graphicData uri="http://schemas.microsoft.com/office/word/2010/wordprocessingShape">
                                <wps:wsp>
                                  <wps:cNvCnPr/>
                                  <wps:spPr>
                                    <a:xfrm flipV="1">
                                      <a:off x="0" y="0"/>
                                      <a:ext cx="1245870" cy="19939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5.85pt;margin-top:82.4pt;height:15.7pt;width:98.1pt;z-index:251660288;mso-width-relative:page;mso-height-relative:page;" filled="f" stroked="t" coordsize="21600,21600" o:gfxdata="UEsDBAoAAAAAAIdO4kAAAAAAAAAAAAAAAAAEAAAAZHJzL1BLAwQUAAAACACHTuJA9ZmOwdYAAAAK&#10;AQAADwAAAGRycy9kb3ducmV2LnhtbE2PPW/CMBCG90r8B+uQuhUnASWQxkECiY2FlKGjia9J1Pgc&#10;YhPg3/c6teO99+j9KLYP24sJR985UhAvIhBItTMdNQrOH4e3NQgfNBndO0IFT/SwLWcvhc6Nu9MJ&#10;pyo0gk3I51pBG8KQS+nrFq32Czcg8e/LjVYHPsdGmlHf2dz2MomiVFrdESe0esB9i/V3dbMKDmSv&#10;x2q3zDITntd1fJyaz0kq9TqPo3cQAR/hD4bf+lwdSu50cTcyXvQKlnHGJOvpiicwkCTZBsSFlU2a&#10;gCwL+X9C+QNQSwMEFAAAAAgAh07iQB9q+irYAQAAdAMAAA4AAABkcnMvZTJvRG9jLnhtbK1TS44T&#10;MRDdI3EHy3vSnTAwSSudWUwUNghG4rOvuO1uS/7JZdLJJbgAEjtYsWQ/t2E4BmUnE347RC9K5fq8&#10;8nuuXl7trWE7GVF71/LppOZMOuE77fqWv3m9eTTnDBO4Dox3suUHifxq9fDBcgyNnPnBm05GRiAO&#10;mzG0fEgpNFWFYpAWcOKDdJRUPlpIdIx91UUYCd2aalbXT6vRxy5ELyQiRdfHJF8VfKWkSC+VQpmY&#10;aTndLRUbi91mW62W0PQRwqDF6RrwD7ewoB0NPUOtIQF7F/VfUFaL6NGrNBHeVl4pLWThQGym9R9s&#10;Xg0QZOFC4mA4y4T/D1a82N1EpruWX5A8Diy90d2Hr9/ef/p++5Hs3ZfPjDIk0xiwoeprdxNPJww3&#10;MXPeq2iZMjq8pQ0oKhAvti8iH84iy31igoLT2cWT+SUNE5SbLhaPFwW+OuJkvBAxPZPesuy03GiX&#10;RYAGds8x0WwqvS/JYec32pjykMaxMU+4rDM+0D4pA4lcG4ghup4zMD0tqkixQKI3usvtGQhjv702&#10;ke2AlmWzqenLxGncb2V59hpwONZ15B23yOpEq2y0bfk89943G0cYWb2jXtnb+u5QZCxxetoy5bSG&#10;eXd+PZfunz/L6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1mY7B1gAAAAoBAAAPAAAAAAAAAAEA&#10;IAAAACIAAABkcnMvZG93bnJldi54bWxQSwECFAAUAAAACACHTuJAH2r6KtgBAAB0AwAADgAAAAAA&#10;AAABACAAAAAlAQAAZHJzL2Uyb0RvYy54bWxQSwUGAAAAAAYABgBZAQAAbwUAAAAA&#10;">
                            <v:fill on="f" focussize="0,0"/>
                            <v:stroke weight="1pt" color="#FF0000 [3204]" miterlimit="8" joinstyle="miter" dashstyle="dash"/>
                            <v:imagedata o:title=""/>
                            <o:lock v:ext="edit" aspectratio="f"/>
                          </v:line>
                        </w:pict>
                      </mc:Fallback>
                    </mc:AlternateContent>
                  </w:r>
                  <w:r>
                    <w:rPr>
                      <w:rFonts w:hint="eastAsia" w:cs="Times New Roman"/>
                      <w:snapToGrid w:val="0"/>
                      <w:sz w:val="18"/>
                      <w:szCs w:val="18"/>
                    </w:rPr>
                    <w:drawing>
                      <wp:inline distT="0" distB="0" distL="0" distR="0">
                        <wp:extent cx="2879725" cy="2159000"/>
                        <wp:effectExtent l="0" t="0" r="0" b="0"/>
                        <wp:docPr id="17727036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03699"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2880000" cy="2159125"/>
                                </a:xfrm>
                                <a:prstGeom prst="rect">
                                  <a:avLst/>
                                </a:prstGeom>
                                <a:noFill/>
                                <a:ln>
                                  <a:noFill/>
                                </a:ln>
                              </pic:spPr>
                            </pic:pic>
                          </a:graphicData>
                        </a:graphic>
                      </wp:inline>
                    </w:drawing>
                  </w:r>
                </w:p>
              </w:tc>
              <w:tc>
                <w:tcPr>
                  <w:tcW w:w="2500" w:type="pct"/>
                  <w:tcMar>
                    <w:left w:w="28" w:type="dxa"/>
                    <w:right w:w="28" w:type="dxa"/>
                  </w:tcMar>
                  <w:vAlign w:val="center"/>
                </w:tcPr>
                <w:p>
                  <w:pPr>
                    <w:adjustRightInd w:val="0"/>
                    <w:snapToGrid w:val="0"/>
                    <w:jc w:val="center"/>
                    <w:rPr>
                      <w:rFonts w:cs="Times New Roman"/>
                      <w:snapToGrid w:val="0"/>
                      <w:sz w:val="18"/>
                      <w:szCs w:val="18"/>
                    </w:rPr>
                  </w:pPr>
                  <w:r>
                    <w:rPr>
                      <w:rFonts w:cs="Times New Roman"/>
                      <w:sz w:val="18"/>
                    </w:rPr>
                    <mc:AlternateContent>
                      <mc:Choice Requires="wps">
                        <w:drawing>
                          <wp:anchor distT="0" distB="0" distL="114300" distR="114300" simplePos="0" relativeHeight="251661312" behindDoc="0" locked="0" layoutInCell="1" allowOverlap="1">
                            <wp:simplePos x="0" y="0"/>
                            <wp:positionH relativeFrom="column">
                              <wp:posOffset>718820</wp:posOffset>
                            </wp:positionH>
                            <wp:positionV relativeFrom="paragraph">
                              <wp:posOffset>998855</wp:posOffset>
                            </wp:positionV>
                            <wp:extent cx="1804670" cy="0"/>
                            <wp:effectExtent l="0" t="0" r="0" b="0"/>
                            <wp:wrapNone/>
                            <wp:docPr id="47" name="直接连接符 47"/>
                            <wp:cNvGraphicFramePr/>
                            <a:graphic xmlns:a="http://schemas.openxmlformats.org/drawingml/2006/main">
                              <a:graphicData uri="http://schemas.microsoft.com/office/word/2010/wordprocessingShape">
                                <wps:wsp>
                                  <wps:cNvCnPr/>
                                  <wps:spPr>
                                    <a:xfrm flipV="1">
                                      <a:off x="0" y="0"/>
                                      <a:ext cx="1804670" cy="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56.6pt;margin-top:78.65pt;height:0pt;width:142.1pt;z-index:251661312;mso-width-relative:page;mso-height-relative:page;" filled="f" stroked="t" coordsize="21600,21600" o:gfxdata="UEsDBAoAAAAAAIdO4kAAAAAAAAAAAAAAAAAEAAAAZHJzL1BLAwQUAAAACACHTuJAL+PTTtYAAAAL&#10;AQAADwAAAGRycy9kb3ducmV2LnhtbE2PQU/DMAyF70j8h8hI3FjaFegoTSeBtNsudBw4eo1pKxqn&#10;a7Ju+/cYCQlufvbT8/fK9dkNaqYp9J4NpIsEFHHjbc+tgffd5m4FKkRki4NnMnChAOvq+qrEwvoT&#10;v9Fcx1ZJCIcCDXQxjoXWoenIYVj4kVhun35yGEVOrbYTniTcDXqZJI/aYc/yocORXjtqvuqjM7Bh&#10;d9jWL1me23g5rNLt3H7M2pjbmzR5BhXpHP/M8IMv6FAJ094f2QY1iE6zpVhleMgzUOLInvJ7UPvf&#10;ja5K/b9D9Q1QSwMEFAAAAAgAh07iQDcUd7HSAQAAbwMAAA4AAABkcnMvZTJvRG9jLnhtbK1Tu64T&#10;MRDtkfgHyz3ZTXR1E62yucWNQoMgEo9+4rV3Lfklj8kmP8EPINFBRUnP33D5DMbOg1eH2GJkz+OM&#10;z5nZ5d3BGraXEbV3LZ9Oas6kE77Trm/561ebJwvOMIHrwHgnW36UyO9Wjx8tx9DImR+86WRkBOKw&#10;GUPLh5RCU1UoBmkBJz5IR0Hlo4VE19hXXYSR0K2pZnV9W40+diF6IRHJuz4F+argKyVFeqEUysRM&#10;y+ltqdhY7C7barWEpo8QBi3Oz4B/eIUF7ajpFWoNCdjbqP+CslpEj16lifC28kppIQsHYjOt/2Dz&#10;coAgCxcSB8NVJvx/sOL5fhuZ7lp+M+fMgaUZPbz/8u3dx+9fP5B9+PyJUYRkGgM2lH3vtvF8w7CN&#10;mfNBRcuU0eENbUBRgXixQxH5eBVZHhIT5Jwu6pvbOc1CXGLVCSJDhYjpqfSW5UPLjXaZPzSwf4aJ&#10;2lLqJSW7nd9oY8oMjWMjgc/mdYYGWiVlINHRBiKHrucMTE87KlIskOiN7nJ5BsLY7+5NZHugPdls&#10;avoyZ2r3W1ruvQYcTnkdnU4LZHWiLTbatnyRay/FxhFGFu4kVT7tfHcsChY/TbV0OW9gXptf76X6&#10;53+y+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v49NO1gAAAAsBAAAPAAAAAAAAAAEAIAAAACIA&#10;AABkcnMvZG93bnJldi54bWxQSwECFAAUAAAACACHTuJANxR3sdIBAABvAwAADgAAAAAAAAABACAA&#10;AAAlAQAAZHJzL2Uyb0RvYy54bWxQSwUGAAAAAAYABgBZAQAAaQUAAAAA&#10;">
                            <v:fill on="f" focussize="0,0"/>
                            <v:stroke weight="1pt" color="#FF0000 [3204]" miterlimit="8" joinstyle="miter" dashstyle="dash"/>
                            <v:imagedata o:title=""/>
                            <o:lock v:ext="edit" aspectratio="f"/>
                          </v:line>
                        </w:pict>
                      </mc:Fallback>
                    </mc:AlternateContent>
                  </w:r>
                  <w:r>
                    <w:rPr>
                      <w:rFonts w:cs="Times New Roman"/>
                      <w:snapToGrid w:val="0"/>
                      <w:sz w:val="18"/>
                      <w:szCs w:val="18"/>
                    </w:rPr>
                    <w:drawing>
                      <wp:inline distT="0" distB="0" distL="0" distR="0">
                        <wp:extent cx="2879725" cy="2159000"/>
                        <wp:effectExtent l="0" t="0" r="0" b="0"/>
                        <wp:docPr id="17384709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70920" name="图片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880000" cy="21591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397" w:hRule="atLeast"/>
              </w:trPr>
              <w:tc>
                <w:tcPr>
                  <w:tcW w:w="2500" w:type="pct"/>
                  <w:tcMar>
                    <w:left w:w="28" w:type="dxa"/>
                    <w:right w:w="28" w:type="dxa"/>
                  </w:tcMar>
                  <w:vAlign w:val="center"/>
                </w:tcPr>
                <w:p>
                  <w:pPr>
                    <w:adjustRightInd w:val="0"/>
                    <w:snapToGrid w:val="0"/>
                    <w:jc w:val="center"/>
                    <w:rPr>
                      <w:rFonts w:cs="Times New Roman"/>
                      <w:snapToGrid w:val="0"/>
                      <w:sz w:val="18"/>
                      <w:szCs w:val="18"/>
                    </w:rPr>
                  </w:pPr>
                  <w:r>
                    <w:rPr>
                      <w:rFonts w:hint="eastAsia" w:cs="Times New Roman"/>
                      <w:snapToGrid w:val="0"/>
                      <w:sz w:val="18"/>
                      <w:szCs w:val="18"/>
                    </w:rPr>
                    <w:t>拟建架空</w:t>
                  </w:r>
                  <w:r>
                    <w:rPr>
                      <w:rFonts w:cs="Times New Roman"/>
                      <w:snapToGrid w:val="0"/>
                      <w:sz w:val="18"/>
                      <w:szCs w:val="18"/>
                    </w:rPr>
                    <w:t>线路途径</w:t>
                  </w:r>
                  <w:r>
                    <w:rPr>
                      <w:rFonts w:hint="eastAsia" w:cs="Times New Roman"/>
                      <w:snapToGrid w:val="0"/>
                      <w:sz w:val="18"/>
                      <w:szCs w:val="18"/>
                    </w:rPr>
                    <w:t>农田</w:t>
                  </w:r>
                </w:p>
              </w:tc>
              <w:tc>
                <w:tcPr>
                  <w:tcW w:w="2500" w:type="pct"/>
                  <w:tcMar>
                    <w:left w:w="28" w:type="dxa"/>
                    <w:right w:w="28" w:type="dxa"/>
                  </w:tcMar>
                  <w:vAlign w:val="center"/>
                </w:tcPr>
                <w:p>
                  <w:pPr>
                    <w:adjustRightInd w:val="0"/>
                    <w:snapToGrid w:val="0"/>
                    <w:jc w:val="center"/>
                    <w:rPr>
                      <w:rFonts w:cs="Times New Roman"/>
                      <w:snapToGrid w:val="0"/>
                      <w:sz w:val="18"/>
                      <w:szCs w:val="18"/>
                    </w:rPr>
                  </w:pPr>
                  <w:r>
                    <w:rPr>
                      <w:rFonts w:hint="eastAsia" w:cs="Times New Roman"/>
                      <w:snapToGrid w:val="0"/>
                      <w:sz w:val="18"/>
                      <w:szCs w:val="18"/>
                    </w:rPr>
                    <w:t>拟建架空</w:t>
                  </w:r>
                  <w:r>
                    <w:rPr>
                      <w:rFonts w:cs="Times New Roman"/>
                      <w:snapToGrid w:val="0"/>
                      <w:sz w:val="18"/>
                      <w:szCs w:val="18"/>
                    </w:rPr>
                    <w:t>线路</w:t>
                  </w:r>
                  <w:r>
                    <w:rPr>
                      <w:rFonts w:hint="eastAsia" w:cs="Times New Roman"/>
                      <w:snapToGrid w:val="0"/>
                      <w:sz w:val="18"/>
                      <w:szCs w:val="18"/>
                    </w:rPr>
                    <w:t>途径园地</w:t>
                  </w:r>
                </w:p>
              </w:tc>
            </w:tr>
          </w:tbl>
          <w:p>
            <w:pPr>
              <w:jc w:val="center"/>
              <w:rPr>
                <w:rFonts w:eastAsia="黑体" w:cs="Times New Roman"/>
                <w:sz w:val="18"/>
                <w:szCs w:val="18"/>
              </w:rPr>
            </w:pPr>
            <w:r>
              <w:rPr>
                <w:rFonts w:eastAsia="黑体" w:cs="Times New Roman"/>
                <w:sz w:val="18"/>
                <w:szCs w:val="18"/>
              </w:rPr>
              <w:t>图3.2-1 工程</w:t>
            </w:r>
            <w:r>
              <w:rPr>
                <w:rFonts w:hint="eastAsia" w:eastAsia="黑体" w:cs="Times New Roman"/>
                <w:sz w:val="18"/>
                <w:szCs w:val="18"/>
              </w:rPr>
              <w:t>线路沿线</w:t>
            </w:r>
            <w:r>
              <w:rPr>
                <w:rFonts w:eastAsia="黑体" w:cs="Times New Roman"/>
                <w:sz w:val="18"/>
                <w:szCs w:val="18"/>
              </w:rPr>
              <w:t>区域地形地貌</w:t>
            </w:r>
          </w:p>
          <w:p>
            <w:pPr>
              <w:spacing w:line="360" w:lineRule="auto"/>
              <w:ind w:firstLine="420" w:firstLineChars="200"/>
              <w:rPr>
                <w:rFonts w:cs="Times New Roman"/>
                <w:szCs w:val="21"/>
              </w:rPr>
            </w:pPr>
            <w:r>
              <w:rPr>
                <w:rFonts w:cs="Times New Roman"/>
                <w:szCs w:val="21"/>
              </w:rPr>
              <w:t>（2）植被</w:t>
            </w:r>
          </w:p>
          <w:p>
            <w:pPr>
              <w:spacing w:line="360" w:lineRule="auto"/>
              <w:ind w:firstLine="420" w:firstLineChars="200"/>
              <w:rPr>
                <w:rFonts w:cs="Times New Roman"/>
                <w:szCs w:val="21"/>
              </w:rPr>
            </w:pPr>
            <w:r>
              <w:rPr>
                <w:rFonts w:cs="Times New Roman"/>
                <w:szCs w:val="21"/>
              </w:rPr>
              <w:t>线路沿线现状植被主要为</w:t>
            </w:r>
            <w:r>
              <w:rPr>
                <w:rFonts w:hint="eastAsia" w:cs="Times New Roman"/>
                <w:szCs w:val="21"/>
              </w:rPr>
              <w:t>农田植被（水稻、小麦、玉米）、园地（枇杷、桑树、桃树、杏树、枣树、辣椒、茄、番茄、南瓜等）、绿化植被（香樟、臭椿、松树等）、乡村道路及河道两侧灌草丛</w:t>
            </w:r>
            <w:r>
              <w:rPr>
                <w:rFonts w:cs="Times New Roman"/>
                <w:szCs w:val="21"/>
              </w:rPr>
              <w:t>等，未发现国家级或省级</w:t>
            </w:r>
            <w:r>
              <w:rPr>
                <w:rFonts w:hint="eastAsia" w:cs="Times New Roman"/>
                <w:szCs w:val="21"/>
              </w:rPr>
              <w:t>重点保护</w:t>
            </w:r>
            <w:r>
              <w:rPr>
                <w:rFonts w:cs="Times New Roman"/>
                <w:szCs w:val="21"/>
              </w:rPr>
              <w:t>野生植物</w:t>
            </w:r>
            <w:r>
              <w:rPr>
                <w:rFonts w:hint="eastAsia" w:cs="Times New Roman"/>
                <w:szCs w:val="21"/>
              </w:rPr>
              <w:t>及挂牌的古树名木分布</w:t>
            </w:r>
            <w:r>
              <w:rPr>
                <w:rFonts w:cs="Times New Roman"/>
                <w:szCs w:val="21"/>
              </w:rPr>
              <w:t>。</w:t>
            </w:r>
          </w:p>
          <w:p>
            <w:pPr>
              <w:spacing w:line="360" w:lineRule="auto"/>
              <w:ind w:firstLine="420" w:firstLineChars="200"/>
              <w:rPr>
                <w:rFonts w:cs="Times New Roman"/>
                <w:szCs w:val="21"/>
              </w:rPr>
            </w:pPr>
            <w:r>
              <w:rPr>
                <w:rFonts w:cs="Times New Roman"/>
                <w:szCs w:val="21"/>
              </w:rPr>
              <w:t>（3）动物</w:t>
            </w:r>
          </w:p>
          <w:p>
            <w:pPr>
              <w:spacing w:line="360" w:lineRule="auto"/>
              <w:ind w:firstLine="420" w:firstLineChars="200"/>
              <w:rPr>
                <w:rFonts w:cs="Times New Roman"/>
                <w:szCs w:val="21"/>
              </w:rPr>
            </w:pPr>
            <w:bookmarkStart w:id="9" w:name="_Toc406420188"/>
            <w:bookmarkStart w:id="10" w:name="_Toc406419896"/>
            <w:r>
              <w:rPr>
                <w:rFonts w:cs="Times New Roman"/>
                <w:szCs w:val="21"/>
              </w:rPr>
              <w:t>本项目线路沿线动物以家禽为主，有蛙、蛇等常见的野生动物。经调查，本</w:t>
            </w:r>
            <w:r>
              <w:rPr>
                <w:rFonts w:hint="eastAsia" w:cs="Times New Roman"/>
                <w:szCs w:val="21"/>
              </w:rPr>
              <w:t>项目</w:t>
            </w:r>
            <w:r>
              <w:rPr>
                <w:rFonts w:cs="Times New Roman"/>
                <w:szCs w:val="21"/>
              </w:rPr>
              <w:t>线路沿线未发现国家及地方</w:t>
            </w:r>
            <w:r>
              <w:rPr>
                <w:rFonts w:hint="eastAsia" w:cs="Times New Roman"/>
                <w:szCs w:val="21"/>
              </w:rPr>
              <w:t>重点保护</w:t>
            </w:r>
            <w:r>
              <w:rPr>
                <w:rFonts w:cs="Times New Roman"/>
                <w:szCs w:val="21"/>
              </w:rPr>
              <w:t>野生</w:t>
            </w:r>
            <w:r>
              <w:rPr>
                <w:rFonts w:hint="eastAsia" w:cs="Times New Roman"/>
                <w:szCs w:val="21"/>
              </w:rPr>
              <w:t>动物</w:t>
            </w:r>
            <w:r>
              <w:rPr>
                <w:rFonts w:cs="Times New Roman"/>
                <w:szCs w:val="21"/>
              </w:rPr>
              <w:t>及其集中栖息地。</w:t>
            </w:r>
            <w:bookmarkEnd w:id="9"/>
            <w:bookmarkEnd w:id="10"/>
          </w:p>
          <w:p>
            <w:pPr>
              <w:pStyle w:val="32"/>
              <w:keepLines/>
              <w:numPr>
                <w:ilvl w:val="0"/>
                <w:numId w:val="6"/>
              </w:numPr>
              <w:spacing w:line="360" w:lineRule="auto"/>
              <w:ind w:firstLineChars="0"/>
              <w:outlineLvl w:val="1"/>
              <w:rPr>
                <w:rFonts w:eastAsia="黑体" w:cs="Times New Roman"/>
                <w:bCs/>
                <w:szCs w:val="32"/>
              </w:rPr>
            </w:pPr>
            <w:r>
              <w:rPr>
                <w:rFonts w:eastAsia="黑体" w:cs="Times New Roman"/>
                <w:bCs/>
                <w:szCs w:val="32"/>
              </w:rPr>
              <w:t>地表水环境</w:t>
            </w:r>
          </w:p>
          <w:p>
            <w:pPr>
              <w:spacing w:line="360" w:lineRule="auto"/>
              <w:ind w:firstLine="420" w:firstLineChars="200"/>
              <w:rPr>
                <w:rFonts w:cs="Times New Roman"/>
                <w:szCs w:val="21"/>
              </w:rPr>
            </w:pPr>
            <w:r>
              <w:rPr>
                <w:rFonts w:hint="eastAsia" w:cs="Times New Roman"/>
                <w:szCs w:val="21"/>
              </w:rPr>
              <w:t>项目周边主要地表水体是上塘河及其支流（杭嘉湖41）。为了掌握本项目附近水体环境质量现状，本次评价采用海宁市环境监测站2022 年的监测资料，监测断面为上塘河.周王庙水泥厂桥，具体见表3-4。</w:t>
            </w:r>
          </w:p>
          <w:p>
            <w:pPr>
              <w:spacing w:line="360" w:lineRule="auto"/>
              <w:ind w:firstLine="420" w:firstLineChars="200"/>
              <w:rPr>
                <w:rFonts w:cs="Times New Roman"/>
                <w:szCs w:val="21"/>
              </w:rPr>
            </w:pPr>
            <w:r>
              <w:rPr>
                <w:rFonts w:hint="eastAsia" w:cs="Times New Roman"/>
                <w:szCs w:val="21"/>
              </w:rPr>
              <w:t>根据《地表水环境质量评价办法（试行）》，河流断面水质类别评价采用单因子评价法，分别进行月评价和年度评价；上塘河.周王庙水泥厂桥执行《地表水环境质量标准》（GB3838-2002）中Ⅳ类标准。</w:t>
            </w:r>
          </w:p>
          <w:p>
            <w:pPr>
              <w:spacing w:line="360" w:lineRule="auto"/>
              <w:jc w:val="center"/>
              <w:rPr>
                <w:rFonts w:hAnsi="宋体" w:cs="Times New Roman"/>
                <w:b/>
                <w:szCs w:val="21"/>
              </w:rPr>
            </w:pPr>
            <w:r>
              <w:rPr>
                <w:rFonts w:hAnsi="宋体" w:cs="Times New Roman"/>
                <w:b/>
                <w:szCs w:val="21"/>
              </w:rPr>
              <w:t>表</w:t>
            </w:r>
            <w:r>
              <w:rPr>
                <w:rFonts w:hint="eastAsia" w:hAnsi="宋体" w:cs="Times New Roman"/>
                <w:b/>
                <w:szCs w:val="21"/>
              </w:rPr>
              <w:t>3-</w:t>
            </w:r>
            <w:r>
              <w:rPr>
                <w:rFonts w:hAnsi="宋体" w:cs="Times New Roman"/>
                <w:b/>
                <w:szCs w:val="21"/>
              </w:rPr>
              <w:t xml:space="preserve">1  </w:t>
            </w:r>
            <w:r>
              <w:rPr>
                <w:rFonts w:hint="eastAsia" w:hAnsi="宋体" w:cs="Times New Roman"/>
                <w:b/>
                <w:szCs w:val="21"/>
              </w:rPr>
              <w:t>项目所在区域</w:t>
            </w:r>
            <w:r>
              <w:rPr>
                <w:rFonts w:hAnsi="宋体" w:cs="Times New Roman"/>
                <w:b/>
                <w:szCs w:val="21"/>
              </w:rPr>
              <w:t>（2022年）</w:t>
            </w:r>
            <w:r>
              <w:rPr>
                <w:rFonts w:hint="eastAsia" w:hAnsi="宋体" w:cs="Times New Roman"/>
                <w:b/>
                <w:szCs w:val="21"/>
              </w:rPr>
              <w:t>地表水</w:t>
            </w:r>
            <w:r>
              <w:rPr>
                <w:rFonts w:hAnsi="宋体" w:cs="Times New Roman"/>
                <w:b/>
                <w:szCs w:val="21"/>
              </w:rPr>
              <w:t>水质监测情况   单位：mg/L</w:t>
            </w:r>
          </w:p>
          <w:tbl>
            <w:tblPr>
              <w:tblStyle w:val="25"/>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3"/>
              <w:gridCol w:w="780"/>
              <w:gridCol w:w="495"/>
              <w:gridCol w:w="494"/>
              <w:gridCol w:w="494"/>
              <w:gridCol w:w="494"/>
              <w:gridCol w:w="494"/>
              <w:gridCol w:w="494"/>
              <w:gridCol w:w="494"/>
              <w:gridCol w:w="494"/>
              <w:gridCol w:w="494"/>
              <w:gridCol w:w="494"/>
              <w:gridCol w:w="494"/>
              <w:gridCol w:w="500"/>
              <w:gridCol w:w="629"/>
              <w:gridCol w:w="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6" w:type="dxa"/>
                  <w:gridSpan w:val="2"/>
                  <w:vAlign w:val="center"/>
                </w:tcPr>
                <w:p>
                  <w:pPr>
                    <w:widowControl/>
                    <w:jc w:val="center"/>
                    <w:rPr>
                      <w:rFonts w:cs="Times New Roman"/>
                      <w:sz w:val="18"/>
                      <w:szCs w:val="18"/>
                    </w:rPr>
                  </w:pPr>
                  <w:r>
                    <w:rPr>
                      <w:rFonts w:cs="Times New Roman"/>
                      <w:sz w:val="18"/>
                      <w:szCs w:val="18"/>
                    </w:rPr>
                    <w:t>/</w:t>
                  </w:r>
                </w:p>
              </w:tc>
              <w:tc>
                <w:tcPr>
                  <w:tcW w:w="508" w:type="dxa"/>
                  <w:vAlign w:val="center"/>
                </w:tcPr>
                <w:p>
                  <w:pPr>
                    <w:widowControl/>
                    <w:jc w:val="center"/>
                    <w:rPr>
                      <w:rFonts w:cs="Times New Roman"/>
                      <w:sz w:val="18"/>
                      <w:szCs w:val="18"/>
                    </w:rPr>
                  </w:pPr>
                  <w:r>
                    <w:rPr>
                      <w:rFonts w:cs="Times New Roman"/>
                      <w:sz w:val="18"/>
                      <w:szCs w:val="18"/>
                    </w:rPr>
                    <w:t>1月</w:t>
                  </w:r>
                </w:p>
              </w:tc>
              <w:tc>
                <w:tcPr>
                  <w:tcW w:w="507" w:type="dxa"/>
                  <w:vAlign w:val="center"/>
                </w:tcPr>
                <w:p>
                  <w:pPr>
                    <w:widowControl/>
                    <w:jc w:val="center"/>
                    <w:rPr>
                      <w:rFonts w:cs="Times New Roman"/>
                      <w:sz w:val="18"/>
                      <w:szCs w:val="18"/>
                    </w:rPr>
                  </w:pPr>
                  <w:r>
                    <w:rPr>
                      <w:rFonts w:cs="Times New Roman"/>
                      <w:sz w:val="18"/>
                      <w:szCs w:val="18"/>
                    </w:rPr>
                    <w:t>2月</w:t>
                  </w:r>
                </w:p>
              </w:tc>
              <w:tc>
                <w:tcPr>
                  <w:tcW w:w="507" w:type="dxa"/>
                  <w:vAlign w:val="center"/>
                </w:tcPr>
                <w:p>
                  <w:pPr>
                    <w:widowControl/>
                    <w:jc w:val="center"/>
                    <w:rPr>
                      <w:rFonts w:cs="Times New Roman"/>
                      <w:sz w:val="18"/>
                      <w:szCs w:val="18"/>
                    </w:rPr>
                  </w:pPr>
                  <w:r>
                    <w:rPr>
                      <w:rFonts w:cs="Times New Roman"/>
                      <w:sz w:val="18"/>
                      <w:szCs w:val="18"/>
                    </w:rPr>
                    <w:t>3月</w:t>
                  </w:r>
                </w:p>
              </w:tc>
              <w:tc>
                <w:tcPr>
                  <w:tcW w:w="507" w:type="dxa"/>
                  <w:vAlign w:val="center"/>
                </w:tcPr>
                <w:p>
                  <w:pPr>
                    <w:widowControl/>
                    <w:jc w:val="center"/>
                    <w:rPr>
                      <w:rFonts w:cs="Times New Roman"/>
                      <w:sz w:val="18"/>
                      <w:szCs w:val="18"/>
                    </w:rPr>
                  </w:pPr>
                  <w:r>
                    <w:rPr>
                      <w:rFonts w:cs="Times New Roman"/>
                      <w:sz w:val="18"/>
                      <w:szCs w:val="18"/>
                    </w:rPr>
                    <w:t>4月</w:t>
                  </w:r>
                </w:p>
              </w:tc>
              <w:tc>
                <w:tcPr>
                  <w:tcW w:w="507" w:type="dxa"/>
                  <w:vAlign w:val="center"/>
                </w:tcPr>
                <w:p>
                  <w:pPr>
                    <w:widowControl/>
                    <w:jc w:val="center"/>
                    <w:rPr>
                      <w:rFonts w:cs="Times New Roman"/>
                      <w:sz w:val="18"/>
                      <w:szCs w:val="18"/>
                    </w:rPr>
                  </w:pPr>
                  <w:r>
                    <w:rPr>
                      <w:rFonts w:cs="Times New Roman"/>
                      <w:sz w:val="18"/>
                      <w:szCs w:val="18"/>
                    </w:rPr>
                    <w:t>5月</w:t>
                  </w:r>
                </w:p>
              </w:tc>
              <w:tc>
                <w:tcPr>
                  <w:tcW w:w="507" w:type="dxa"/>
                  <w:vAlign w:val="center"/>
                </w:tcPr>
                <w:p>
                  <w:pPr>
                    <w:widowControl/>
                    <w:jc w:val="center"/>
                    <w:rPr>
                      <w:rFonts w:cs="Times New Roman"/>
                      <w:sz w:val="18"/>
                      <w:szCs w:val="18"/>
                    </w:rPr>
                  </w:pPr>
                  <w:r>
                    <w:rPr>
                      <w:rFonts w:cs="Times New Roman"/>
                      <w:sz w:val="18"/>
                      <w:szCs w:val="18"/>
                    </w:rPr>
                    <w:t>6月</w:t>
                  </w:r>
                </w:p>
              </w:tc>
              <w:tc>
                <w:tcPr>
                  <w:tcW w:w="507" w:type="dxa"/>
                  <w:vAlign w:val="center"/>
                </w:tcPr>
                <w:p>
                  <w:pPr>
                    <w:widowControl/>
                    <w:jc w:val="center"/>
                    <w:rPr>
                      <w:rFonts w:cs="Times New Roman"/>
                      <w:sz w:val="18"/>
                      <w:szCs w:val="18"/>
                    </w:rPr>
                  </w:pPr>
                  <w:r>
                    <w:rPr>
                      <w:rFonts w:cs="Times New Roman"/>
                      <w:sz w:val="18"/>
                      <w:szCs w:val="18"/>
                    </w:rPr>
                    <w:t>7月</w:t>
                  </w:r>
                </w:p>
              </w:tc>
              <w:tc>
                <w:tcPr>
                  <w:tcW w:w="507" w:type="dxa"/>
                  <w:vAlign w:val="center"/>
                </w:tcPr>
                <w:p>
                  <w:pPr>
                    <w:widowControl/>
                    <w:jc w:val="center"/>
                    <w:rPr>
                      <w:rFonts w:cs="Times New Roman"/>
                      <w:sz w:val="18"/>
                      <w:szCs w:val="18"/>
                    </w:rPr>
                  </w:pPr>
                  <w:r>
                    <w:rPr>
                      <w:rFonts w:cs="Times New Roman"/>
                      <w:sz w:val="18"/>
                      <w:szCs w:val="18"/>
                    </w:rPr>
                    <w:t>8月</w:t>
                  </w:r>
                </w:p>
              </w:tc>
              <w:tc>
                <w:tcPr>
                  <w:tcW w:w="507" w:type="dxa"/>
                  <w:vAlign w:val="center"/>
                </w:tcPr>
                <w:p>
                  <w:pPr>
                    <w:widowControl/>
                    <w:jc w:val="center"/>
                    <w:rPr>
                      <w:rFonts w:cs="Times New Roman"/>
                      <w:sz w:val="18"/>
                      <w:szCs w:val="18"/>
                    </w:rPr>
                  </w:pPr>
                  <w:r>
                    <w:rPr>
                      <w:rFonts w:cs="Times New Roman"/>
                      <w:sz w:val="18"/>
                      <w:szCs w:val="18"/>
                    </w:rPr>
                    <w:t>9月</w:t>
                  </w:r>
                </w:p>
              </w:tc>
              <w:tc>
                <w:tcPr>
                  <w:tcW w:w="507" w:type="dxa"/>
                  <w:vAlign w:val="center"/>
                </w:tcPr>
                <w:p>
                  <w:pPr>
                    <w:widowControl/>
                    <w:jc w:val="center"/>
                    <w:rPr>
                      <w:rFonts w:cs="Times New Roman"/>
                      <w:sz w:val="18"/>
                      <w:szCs w:val="18"/>
                    </w:rPr>
                  </w:pPr>
                  <w:r>
                    <w:rPr>
                      <w:rFonts w:cs="Times New Roman"/>
                      <w:sz w:val="18"/>
                      <w:szCs w:val="18"/>
                    </w:rPr>
                    <w:t>10月</w:t>
                  </w:r>
                </w:p>
              </w:tc>
              <w:tc>
                <w:tcPr>
                  <w:tcW w:w="507" w:type="dxa"/>
                  <w:vAlign w:val="center"/>
                </w:tcPr>
                <w:p>
                  <w:pPr>
                    <w:widowControl/>
                    <w:jc w:val="center"/>
                    <w:rPr>
                      <w:rFonts w:cs="Times New Roman"/>
                      <w:sz w:val="18"/>
                      <w:szCs w:val="18"/>
                    </w:rPr>
                  </w:pPr>
                  <w:r>
                    <w:rPr>
                      <w:rFonts w:cs="Times New Roman"/>
                      <w:sz w:val="18"/>
                      <w:szCs w:val="18"/>
                    </w:rPr>
                    <w:t>11月</w:t>
                  </w:r>
                </w:p>
              </w:tc>
              <w:tc>
                <w:tcPr>
                  <w:tcW w:w="514" w:type="dxa"/>
                  <w:vAlign w:val="center"/>
                </w:tcPr>
                <w:p>
                  <w:pPr>
                    <w:widowControl/>
                    <w:jc w:val="center"/>
                    <w:rPr>
                      <w:rFonts w:cs="Times New Roman"/>
                      <w:sz w:val="18"/>
                      <w:szCs w:val="18"/>
                    </w:rPr>
                  </w:pPr>
                  <w:r>
                    <w:rPr>
                      <w:rFonts w:cs="Times New Roman"/>
                      <w:sz w:val="18"/>
                      <w:szCs w:val="18"/>
                    </w:rPr>
                    <w:t>12月</w:t>
                  </w:r>
                </w:p>
              </w:tc>
              <w:tc>
                <w:tcPr>
                  <w:tcW w:w="665" w:type="dxa"/>
                  <w:vAlign w:val="center"/>
                </w:tcPr>
                <w:p>
                  <w:pPr>
                    <w:widowControl/>
                    <w:jc w:val="center"/>
                    <w:rPr>
                      <w:rFonts w:cs="Times New Roman"/>
                      <w:sz w:val="18"/>
                      <w:szCs w:val="18"/>
                    </w:rPr>
                  </w:pPr>
                  <w:r>
                    <w:rPr>
                      <w:rFonts w:cs="Times New Roman"/>
                      <w:sz w:val="18"/>
                      <w:szCs w:val="18"/>
                    </w:rPr>
                    <w:t>年平均</w:t>
                  </w:r>
                </w:p>
              </w:tc>
              <w:tc>
                <w:tcPr>
                  <w:tcW w:w="820" w:type="dxa"/>
                  <w:vAlign w:val="center"/>
                </w:tcPr>
                <w:p>
                  <w:pPr>
                    <w:widowControl/>
                    <w:jc w:val="center"/>
                    <w:rPr>
                      <w:rFonts w:cs="Times New Roman"/>
                      <w:sz w:val="18"/>
                      <w:szCs w:val="18"/>
                    </w:rPr>
                  </w:pPr>
                  <w:r>
                    <w:rPr>
                      <w:rFonts w:hint="eastAsia" w:cs="Times New Roman"/>
                      <w:sz w:val="18"/>
                      <w:szCs w:val="18"/>
                    </w:rPr>
                    <w:t>目标水质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63" w:type="dxa"/>
                  <w:gridSpan w:val="15"/>
                  <w:vAlign w:val="center"/>
                </w:tcPr>
                <w:p>
                  <w:pPr>
                    <w:widowControl/>
                    <w:jc w:val="center"/>
                    <w:rPr>
                      <w:rFonts w:cs="Times New Roman"/>
                      <w:sz w:val="18"/>
                      <w:szCs w:val="18"/>
                    </w:rPr>
                  </w:pPr>
                  <w:r>
                    <w:rPr>
                      <w:rFonts w:cs="Times New Roman"/>
                      <w:sz w:val="18"/>
                      <w:szCs w:val="18"/>
                    </w:rPr>
                    <w:t>上塘河.周王庙水泥厂桥</w:t>
                  </w:r>
                </w:p>
              </w:tc>
              <w:tc>
                <w:tcPr>
                  <w:tcW w:w="820" w:type="dxa"/>
                  <w:vAlign w:val="center"/>
                </w:tcPr>
                <w:p>
                  <w:pPr>
                    <w:widowControl/>
                    <w:jc w:val="center"/>
                    <w:rPr>
                      <w:rFonts w:cs="Times New Roman"/>
                      <w:sz w:val="18"/>
                      <w:szCs w:val="18"/>
                    </w:rPr>
                  </w:pPr>
                  <w:r>
                    <w:rPr>
                      <w:rFonts w:hint="eastAsia" w:cs="Times New Roman"/>
                      <w:sz w:val="18"/>
                      <w:szCs w:val="18"/>
                    </w:rPr>
                    <w:t>IV类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7" w:type="dxa"/>
                  <w:vMerge w:val="restart"/>
                  <w:vAlign w:val="center"/>
                </w:tcPr>
                <w:p>
                  <w:pPr>
                    <w:widowControl/>
                    <w:jc w:val="center"/>
                    <w:textAlignment w:val="center"/>
                    <w:rPr>
                      <w:rFonts w:cs="Times New Roman"/>
                      <w:sz w:val="18"/>
                      <w:szCs w:val="18"/>
                    </w:rPr>
                  </w:pPr>
                  <w:r>
                    <w:rPr>
                      <w:rFonts w:cs="Times New Roman"/>
                      <w:sz w:val="18"/>
                      <w:szCs w:val="18"/>
                    </w:rPr>
                    <w:t>高锰酸盐指数</w:t>
                  </w:r>
                </w:p>
              </w:tc>
              <w:tc>
                <w:tcPr>
                  <w:tcW w:w="879" w:type="dxa"/>
                  <w:vAlign w:val="center"/>
                </w:tcPr>
                <w:p>
                  <w:pPr>
                    <w:widowControl/>
                    <w:jc w:val="center"/>
                    <w:textAlignment w:val="center"/>
                    <w:rPr>
                      <w:rFonts w:cs="Times New Roman"/>
                      <w:sz w:val="18"/>
                      <w:szCs w:val="18"/>
                    </w:rPr>
                  </w:pPr>
                  <w:r>
                    <w:rPr>
                      <w:rFonts w:cs="Times New Roman"/>
                      <w:sz w:val="18"/>
                      <w:szCs w:val="18"/>
                    </w:rPr>
                    <w:t>监测数据</w:t>
                  </w:r>
                </w:p>
              </w:tc>
              <w:tc>
                <w:tcPr>
                  <w:tcW w:w="508" w:type="dxa"/>
                  <w:vAlign w:val="center"/>
                </w:tcPr>
                <w:p>
                  <w:pPr>
                    <w:widowControl/>
                    <w:jc w:val="center"/>
                    <w:textAlignment w:val="center"/>
                    <w:rPr>
                      <w:rFonts w:cs="Times New Roman"/>
                      <w:sz w:val="18"/>
                      <w:szCs w:val="18"/>
                    </w:rPr>
                  </w:pPr>
                  <w:r>
                    <w:rPr>
                      <w:rFonts w:hint="eastAsia" w:cs="Times New Roman"/>
                      <w:sz w:val="18"/>
                      <w:szCs w:val="18"/>
                    </w:rPr>
                    <w:t>3.53</w:t>
                  </w:r>
                </w:p>
              </w:tc>
              <w:tc>
                <w:tcPr>
                  <w:tcW w:w="507" w:type="dxa"/>
                  <w:vAlign w:val="center"/>
                </w:tcPr>
                <w:p>
                  <w:pPr>
                    <w:widowControl/>
                    <w:jc w:val="center"/>
                    <w:textAlignment w:val="center"/>
                    <w:rPr>
                      <w:rFonts w:cs="Times New Roman"/>
                      <w:sz w:val="18"/>
                      <w:szCs w:val="18"/>
                    </w:rPr>
                  </w:pPr>
                  <w:r>
                    <w:rPr>
                      <w:rFonts w:hint="eastAsia" w:cs="Times New Roman"/>
                      <w:sz w:val="18"/>
                      <w:szCs w:val="18"/>
                    </w:rPr>
                    <w:t>3.90</w:t>
                  </w:r>
                </w:p>
              </w:tc>
              <w:tc>
                <w:tcPr>
                  <w:tcW w:w="507" w:type="dxa"/>
                  <w:vAlign w:val="center"/>
                </w:tcPr>
                <w:p>
                  <w:pPr>
                    <w:widowControl/>
                    <w:jc w:val="center"/>
                    <w:textAlignment w:val="center"/>
                    <w:rPr>
                      <w:rFonts w:cs="Times New Roman"/>
                      <w:sz w:val="18"/>
                      <w:szCs w:val="18"/>
                    </w:rPr>
                  </w:pPr>
                  <w:r>
                    <w:rPr>
                      <w:rFonts w:hint="eastAsia" w:cs="Times New Roman"/>
                      <w:sz w:val="18"/>
                      <w:szCs w:val="18"/>
                    </w:rPr>
                    <w:t>4.30</w:t>
                  </w:r>
                </w:p>
              </w:tc>
              <w:tc>
                <w:tcPr>
                  <w:tcW w:w="507" w:type="dxa"/>
                  <w:vAlign w:val="center"/>
                </w:tcPr>
                <w:p>
                  <w:pPr>
                    <w:widowControl/>
                    <w:jc w:val="center"/>
                    <w:textAlignment w:val="center"/>
                    <w:rPr>
                      <w:rFonts w:cs="Times New Roman"/>
                      <w:sz w:val="18"/>
                      <w:szCs w:val="18"/>
                    </w:rPr>
                  </w:pPr>
                  <w:r>
                    <w:rPr>
                      <w:rFonts w:hint="eastAsia" w:cs="Times New Roman"/>
                      <w:sz w:val="18"/>
                      <w:szCs w:val="18"/>
                    </w:rPr>
                    <w:t>3.85</w:t>
                  </w:r>
                </w:p>
              </w:tc>
              <w:tc>
                <w:tcPr>
                  <w:tcW w:w="507" w:type="dxa"/>
                  <w:vAlign w:val="center"/>
                </w:tcPr>
                <w:p>
                  <w:pPr>
                    <w:widowControl/>
                    <w:jc w:val="center"/>
                    <w:textAlignment w:val="center"/>
                    <w:rPr>
                      <w:rFonts w:cs="Times New Roman"/>
                      <w:sz w:val="18"/>
                      <w:szCs w:val="18"/>
                    </w:rPr>
                  </w:pPr>
                  <w:r>
                    <w:rPr>
                      <w:rFonts w:hint="eastAsia" w:cs="Times New Roman"/>
                      <w:sz w:val="18"/>
                      <w:szCs w:val="18"/>
                    </w:rPr>
                    <w:t>4.10</w:t>
                  </w:r>
                </w:p>
              </w:tc>
              <w:tc>
                <w:tcPr>
                  <w:tcW w:w="507" w:type="dxa"/>
                  <w:vAlign w:val="center"/>
                </w:tcPr>
                <w:p>
                  <w:pPr>
                    <w:widowControl/>
                    <w:jc w:val="center"/>
                    <w:textAlignment w:val="center"/>
                    <w:rPr>
                      <w:rFonts w:cs="Times New Roman"/>
                      <w:sz w:val="18"/>
                      <w:szCs w:val="18"/>
                    </w:rPr>
                  </w:pPr>
                  <w:r>
                    <w:rPr>
                      <w:rFonts w:hint="eastAsia" w:cs="Times New Roman"/>
                      <w:sz w:val="18"/>
                      <w:szCs w:val="18"/>
                    </w:rPr>
                    <w:t>4.53</w:t>
                  </w:r>
                </w:p>
              </w:tc>
              <w:tc>
                <w:tcPr>
                  <w:tcW w:w="507" w:type="dxa"/>
                  <w:vAlign w:val="center"/>
                </w:tcPr>
                <w:p>
                  <w:pPr>
                    <w:widowControl/>
                    <w:jc w:val="center"/>
                    <w:textAlignment w:val="center"/>
                    <w:rPr>
                      <w:rFonts w:cs="Times New Roman"/>
                      <w:sz w:val="18"/>
                      <w:szCs w:val="18"/>
                    </w:rPr>
                  </w:pPr>
                  <w:r>
                    <w:rPr>
                      <w:rFonts w:hint="eastAsia" w:cs="Times New Roman"/>
                      <w:sz w:val="18"/>
                      <w:szCs w:val="18"/>
                    </w:rPr>
                    <w:t>4.83</w:t>
                  </w:r>
                </w:p>
              </w:tc>
              <w:tc>
                <w:tcPr>
                  <w:tcW w:w="507" w:type="dxa"/>
                  <w:vAlign w:val="center"/>
                </w:tcPr>
                <w:p>
                  <w:pPr>
                    <w:widowControl/>
                    <w:jc w:val="center"/>
                    <w:textAlignment w:val="center"/>
                    <w:rPr>
                      <w:rFonts w:cs="Times New Roman"/>
                      <w:sz w:val="18"/>
                      <w:szCs w:val="18"/>
                    </w:rPr>
                  </w:pPr>
                  <w:r>
                    <w:rPr>
                      <w:rFonts w:hint="eastAsia" w:cs="Times New Roman"/>
                      <w:sz w:val="18"/>
                      <w:szCs w:val="18"/>
                    </w:rPr>
                    <w:t>3.63</w:t>
                  </w:r>
                </w:p>
              </w:tc>
              <w:tc>
                <w:tcPr>
                  <w:tcW w:w="507" w:type="dxa"/>
                  <w:vAlign w:val="center"/>
                </w:tcPr>
                <w:p>
                  <w:pPr>
                    <w:widowControl/>
                    <w:jc w:val="center"/>
                    <w:textAlignment w:val="center"/>
                    <w:rPr>
                      <w:rFonts w:cs="Times New Roman"/>
                      <w:sz w:val="18"/>
                      <w:szCs w:val="18"/>
                    </w:rPr>
                  </w:pPr>
                  <w:r>
                    <w:rPr>
                      <w:rFonts w:hint="eastAsia" w:cs="Times New Roman"/>
                      <w:sz w:val="18"/>
                      <w:szCs w:val="18"/>
                    </w:rPr>
                    <w:t>4.17</w:t>
                  </w:r>
                </w:p>
              </w:tc>
              <w:tc>
                <w:tcPr>
                  <w:tcW w:w="507" w:type="dxa"/>
                  <w:vAlign w:val="center"/>
                </w:tcPr>
                <w:p>
                  <w:pPr>
                    <w:widowControl/>
                    <w:jc w:val="center"/>
                    <w:textAlignment w:val="center"/>
                    <w:rPr>
                      <w:rFonts w:cs="Times New Roman"/>
                      <w:sz w:val="18"/>
                      <w:szCs w:val="18"/>
                    </w:rPr>
                  </w:pPr>
                  <w:r>
                    <w:rPr>
                      <w:rFonts w:hint="eastAsia" w:cs="Times New Roman"/>
                      <w:sz w:val="18"/>
                      <w:szCs w:val="18"/>
                    </w:rPr>
                    <w:t>3.55</w:t>
                  </w:r>
                </w:p>
              </w:tc>
              <w:tc>
                <w:tcPr>
                  <w:tcW w:w="507" w:type="dxa"/>
                  <w:vAlign w:val="center"/>
                </w:tcPr>
                <w:p>
                  <w:pPr>
                    <w:widowControl/>
                    <w:jc w:val="center"/>
                    <w:textAlignment w:val="center"/>
                    <w:rPr>
                      <w:rFonts w:cs="Times New Roman"/>
                      <w:sz w:val="18"/>
                      <w:szCs w:val="18"/>
                    </w:rPr>
                  </w:pPr>
                  <w:r>
                    <w:rPr>
                      <w:rFonts w:hint="eastAsia" w:cs="Times New Roman"/>
                      <w:sz w:val="18"/>
                      <w:szCs w:val="18"/>
                    </w:rPr>
                    <w:t>3.43</w:t>
                  </w:r>
                </w:p>
              </w:tc>
              <w:tc>
                <w:tcPr>
                  <w:tcW w:w="514" w:type="dxa"/>
                  <w:vAlign w:val="center"/>
                </w:tcPr>
                <w:p>
                  <w:pPr>
                    <w:widowControl/>
                    <w:jc w:val="center"/>
                    <w:textAlignment w:val="center"/>
                    <w:rPr>
                      <w:rFonts w:cs="Times New Roman"/>
                      <w:sz w:val="18"/>
                      <w:szCs w:val="18"/>
                    </w:rPr>
                  </w:pPr>
                  <w:r>
                    <w:rPr>
                      <w:rFonts w:hint="eastAsia" w:cs="Times New Roman"/>
                      <w:sz w:val="18"/>
                      <w:szCs w:val="18"/>
                    </w:rPr>
                    <w:t>5.30</w:t>
                  </w:r>
                </w:p>
              </w:tc>
              <w:tc>
                <w:tcPr>
                  <w:tcW w:w="665" w:type="dxa"/>
                  <w:vAlign w:val="center"/>
                </w:tcPr>
                <w:p>
                  <w:pPr>
                    <w:widowControl/>
                    <w:jc w:val="center"/>
                    <w:textAlignment w:val="center"/>
                    <w:rPr>
                      <w:rFonts w:cs="Times New Roman"/>
                      <w:sz w:val="18"/>
                      <w:szCs w:val="18"/>
                    </w:rPr>
                  </w:pPr>
                  <w:r>
                    <w:rPr>
                      <w:rFonts w:hint="eastAsia" w:cs="Times New Roman"/>
                      <w:sz w:val="18"/>
                      <w:szCs w:val="18"/>
                    </w:rPr>
                    <w:t>4.09</w:t>
                  </w:r>
                </w:p>
              </w:tc>
              <w:tc>
                <w:tcPr>
                  <w:tcW w:w="820" w:type="dxa"/>
                  <w:vAlign w:val="center"/>
                </w:tcPr>
                <w:p>
                  <w:pPr>
                    <w:widowControl/>
                    <w:jc w:val="center"/>
                    <w:textAlignment w:val="center"/>
                    <w:rPr>
                      <w:rFonts w:cs="Times New Roman"/>
                      <w:sz w:val="18"/>
                      <w:szCs w:val="18"/>
                    </w:rPr>
                  </w:pPr>
                  <w:r>
                    <w:rPr>
                      <w:rFonts w:cs="Times New Roman"/>
                      <w:sz w:val="18"/>
                      <w:szCs w:val="18"/>
                    </w:rPr>
                    <w:t>≤</w:t>
                  </w:r>
                  <w:r>
                    <w:rPr>
                      <w:rFonts w:hint="eastAsia" w:cs="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7" w:type="dxa"/>
                  <w:vMerge w:val="continue"/>
                  <w:vAlign w:val="center"/>
                </w:tcPr>
                <w:p>
                  <w:pPr>
                    <w:widowControl/>
                    <w:jc w:val="center"/>
                    <w:textAlignment w:val="center"/>
                    <w:rPr>
                      <w:rFonts w:cs="Times New Roman"/>
                      <w:sz w:val="18"/>
                      <w:szCs w:val="18"/>
                    </w:rPr>
                  </w:pPr>
                </w:p>
              </w:tc>
              <w:tc>
                <w:tcPr>
                  <w:tcW w:w="879" w:type="dxa"/>
                  <w:vAlign w:val="center"/>
                </w:tcPr>
                <w:p>
                  <w:pPr>
                    <w:widowControl/>
                    <w:jc w:val="center"/>
                    <w:textAlignment w:val="center"/>
                    <w:rPr>
                      <w:rFonts w:cs="Times New Roman"/>
                      <w:sz w:val="18"/>
                      <w:szCs w:val="18"/>
                    </w:rPr>
                  </w:pPr>
                  <w:r>
                    <w:rPr>
                      <w:rFonts w:cs="Times New Roman"/>
                      <w:sz w:val="18"/>
                      <w:szCs w:val="18"/>
                    </w:rPr>
                    <w:t>水质指数</w:t>
                  </w:r>
                </w:p>
              </w:tc>
              <w:tc>
                <w:tcPr>
                  <w:tcW w:w="508" w:type="dxa"/>
                  <w:vAlign w:val="center"/>
                </w:tcPr>
                <w:p>
                  <w:pPr>
                    <w:widowControl/>
                    <w:jc w:val="center"/>
                    <w:textAlignment w:val="center"/>
                    <w:rPr>
                      <w:rFonts w:cs="Times New Roman"/>
                      <w:sz w:val="18"/>
                      <w:szCs w:val="18"/>
                    </w:rPr>
                  </w:pPr>
                  <w:r>
                    <w:rPr>
                      <w:rFonts w:hint="eastAsia" w:cs="Times New Roman"/>
                      <w:sz w:val="18"/>
                      <w:szCs w:val="18"/>
                    </w:rPr>
                    <w:t>0.35</w:t>
                  </w:r>
                </w:p>
              </w:tc>
              <w:tc>
                <w:tcPr>
                  <w:tcW w:w="507" w:type="dxa"/>
                  <w:vAlign w:val="center"/>
                </w:tcPr>
                <w:p>
                  <w:pPr>
                    <w:widowControl/>
                    <w:jc w:val="center"/>
                    <w:textAlignment w:val="center"/>
                    <w:rPr>
                      <w:rFonts w:cs="Times New Roman"/>
                      <w:sz w:val="18"/>
                      <w:szCs w:val="18"/>
                    </w:rPr>
                  </w:pPr>
                  <w:r>
                    <w:rPr>
                      <w:rFonts w:hint="eastAsia" w:cs="Times New Roman"/>
                      <w:sz w:val="18"/>
                      <w:szCs w:val="18"/>
                    </w:rPr>
                    <w:t>0.39</w:t>
                  </w:r>
                </w:p>
              </w:tc>
              <w:tc>
                <w:tcPr>
                  <w:tcW w:w="507" w:type="dxa"/>
                  <w:vAlign w:val="center"/>
                </w:tcPr>
                <w:p>
                  <w:pPr>
                    <w:widowControl/>
                    <w:jc w:val="center"/>
                    <w:textAlignment w:val="center"/>
                    <w:rPr>
                      <w:rFonts w:cs="Times New Roman"/>
                      <w:sz w:val="18"/>
                      <w:szCs w:val="18"/>
                    </w:rPr>
                  </w:pPr>
                  <w:r>
                    <w:rPr>
                      <w:rFonts w:hint="eastAsia" w:cs="Times New Roman"/>
                      <w:sz w:val="18"/>
                      <w:szCs w:val="18"/>
                    </w:rPr>
                    <w:t>0.43</w:t>
                  </w:r>
                </w:p>
              </w:tc>
              <w:tc>
                <w:tcPr>
                  <w:tcW w:w="507" w:type="dxa"/>
                  <w:vAlign w:val="center"/>
                </w:tcPr>
                <w:p>
                  <w:pPr>
                    <w:widowControl/>
                    <w:jc w:val="center"/>
                    <w:textAlignment w:val="center"/>
                    <w:rPr>
                      <w:rFonts w:cs="Times New Roman"/>
                      <w:sz w:val="18"/>
                      <w:szCs w:val="18"/>
                    </w:rPr>
                  </w:pPr>
                  <w:r>
                    <w:rPr>
                      <w:rFonts w:hint="eastAsia" w:cs="Times New Roman"/>
                      <w:sz w:val="18"/>
                      <w:szCs w:val="18"/>
                    </w:rPr>
                    <w:t>0.39</w:t>
                  </w:r>
                </w:p>
              </w:tc>
              <w:tc>
                <w:tcPr>
                  <w:tcW w:w="507" w:type="dxa"/>
                  <w:vAlign w:val="center"/>
                </w:tcPr>
                <w:p>
                  <w:pPr>
                    <w:widowControl/>
                    <w:jc w:val="center"/>
                    <w:textAlignment w:val="center"/>
                    <w:rPr>
                      <w:rFonts w:cs="Times New Roman"/>
                      <w:sz w:val="18"/>
                      <w:szCs w:val="18"/>
                    </w:rPr>
                  </w:pPr>
                  <w:r>
                    <w:rPr>
                      <w:rFonts w:hint="eastAsia" w:cs="Times New Roman"/>
                      <w:sz w:val="18"/>
                      <w:szCs w:val="18"/>
                    </w:rPr>
                    <w:t>0.41</w:t>
                  </w:r>
                </w:p>
              </w:tc>
              <w:tc>
                <w:tcPr>
                  <w:tcW w:w="507" w:type="dxa"/>
                  <w:vAlign w:val="center"/>
                </w:tcPr>
                <w:p>
                  <w:pPr>
                    <w:widowControl/>
                    <w:jc w:val="center"/>
                    <w:textAlignment w:val="center"/>
                    <w:rPr>
                      <w:rFonts w:cs="Times New Roman"/>
                      <w:sz w:val="18"/>
                      <w:szCs w:val="18"/>
                    </w:rPr>
                  </w:pPr>
                  <w:r>
                    <w:rPr>
                      <w:rFonts w:hint="eastAsia" w:cs="Times New Roman"/>
                      <w:sz w:val="18"/>
                      <w:szCs w:val="18"/>
                    </w:rPr>
                    <w:t>0.45</w:t>
                  </w:r>
                </w:p>
              </w:tc>
              <w:tc>
                <w:tcPr>
                  <w:tcW w:w="507" w:type="dxa"/>
                  <w:vAlign w:val="center"/>
                </w:tcPr>
                <w:p>
                  <w:pPr>
                    <w:widowControl/>
                    <w:jc w:val="center"/>
                    <w:textAlignment w:val="center"/>
                    <w:rPr>
                      <w:rFonts w:cs="Times New Roman"/>
                      <w:sz w:val="18"/>
                      <w:szCs w:val="18"/>
                    </w:rPr>
                  </w:pPr>
                  <w:r>
                    <w:rPr>
                      <w:rFonts w:hint="eastAsia" w:cs="Times New Roman"/>
                      <w:sz w:val="18"/>
                      <w:szCs w:val="18"/>
                    </w:rPr>
                    <w:t>0.48</w:t>
                  </w:r>
                </w:p>
              </w:tc>
              <w:tc>
                <w:tcPr>
                  <w:tcW w:w="507" w:type="dxa"/>
                  <w:vAlign w:val="center"/>
                </w:tcPr>
                <w:p>
                  <w:pPr>
                    <w:widowControl/>
                    <w:jc w:val="center"/>
                    <w:textAlignment w:val="center"/>
                    <w:rPr>
                      <w:rFonts w:cs="Times New Roman"/>
                      <w:sz w:val="18"/>
                      <w:szCs w:val="18"/>
                    </w:rPr>
                  </w:pPr>
                  <w:r>
                    <w:rPr>
                      <w:rFonts w:hint="eastAsia" w:cs="Times New Roman"/>
                      <w:sz w:val="18"/>
                      <w:szCs w:val="18"/>
                    </w:rPr>
                    <w:t>0.36</w:t>
                  </w:r>
                </w:p>
              </w:tc>
              <w:tc>
                <w:tcPr>
                  <w:tcW w:w="507" w:type="dxa"/>
                  <w:vAlign w:val="center"/>
                </w:tcPr>
                <w:p>
                  <w:pPr>
                    <w:widowControl/>
                    <w:jc w:val="center"/>
                    <w:textAlignment w:val="center"/>
                    <w:rPr>
                      <w:rFonts w:cs="Times New Roman"/>
                      <w:sz w:val="18"/>
                      <w:szCs w:val="18"/>
                    </w:rPr>
                  </w:pPr>
                  <w:r>
                    <w:rPr>
                      <w:rFonts w:hint="eastAsia" w:cs="Times New Roman"/>
                      <w:sz w:val="18"/>
                      <w:szCs w:val="18"/>
                    </w:rPr>
                    <w:t>0.42</w:t>
                  </w:r>
                </w:p>
              </w:tc>
              <w:tc>
                <w:tcPr>
                  <w:tcW w:w="507" w:type="dxa"/>
                  <w:vAlign w:val="center"/>
                </w:tcPr>
                <w:p>
                  <w:pPr>
                    <w:widowControl/>
                    <w:jc w:val="center"/>
                    <w:textAlignment w:val="center"/>
                    <w:rPr>
                      <w:rFonts w:cs="Times New Roman"/>
                      <w:sz w:val="18"/>
                      <w:szCs w:val="18"/>
                    </w:rPr>
                  </w:pPr>
                  <w:r>
                    <w:rPr>
                      <w:rFonts w:hint="eastAsia" w:cs="Times New Roman"/>
                      <w:sz w:val="18"/>
                      <w:szCs w:val="18"/>
                    </w:rPr>
                    <w:t>0.36</w:t>
                  </w:r>
                </w:p>
              </w:tc>
              <w:tc>
                <w:tcPr>
                  <w:tcW w:w="507" w:type="dxa"/>
                  <w:vAlign w:val="center"/>
                </w:tcPr>
                <w:p>
                  <w:pPr>
                    <w:widowControl/>
                    <w:jc w:val="center"/>
                    <w:textAlignment w:val="center"/>
                    <w:rPr>
                      <w:rFonts w:cs="Times New Roman"/>
                      <w:sz w:val="18"/>
                      <w:szCs w:val="18"/>
                    </w:rPr>
                  </w:pPr>
                  <w:r>
                    <w:rPr>
                      <w:rFonts w:hint="eastAsia" w:cs="Times New Roman"/>
                      <w:sz w:val="18"/>
                      <w:szCs w:val="18"/>
                    </w:rPr>
                    <w:t>0.34</w:t>
                  </w:r>
                </w:p>
              </w:tc>
              <w:tc>
                <w:tcPr>
                  <w:tcW w:w="514" w:type="dxa"/>
                  <w:vAlign w:val="center"/>
                </w:tcPr>
                <w:p>
                  <w:pPr>
                    <w:widowControl/>
                    <w:jc w:val="center"/>
                    <w:textAlignment w:val="center"/>
                    <w:rPr>
                      <w:rFonts w:cs="Times New Roman"/>
                      <w:sz w:val="18"/>
                      <w:szCs w:val="18"/>
                    </w:rPr>
                  </w:pPr>
                  <w:r>
                    <w:rPr>
                      <w:rFonts w:hint="eastAsia" w:cs="Times New Roman"/>
                      <w:sz w:val="18"/>
                      <w:szCs w:val="18"/>
                    </w:rPr>
                    <w:t>0.53</w:t>
                  </w:r>
                </w:p>
              </w:tc>
              <w:tc>
                <w:tcPr>
                  <w:tcW w:w="665" w:type="dxa"/>
                  <w:vAlign w:val="center"/>
                </w:tcPr>
                <w:p>
                  <w:pPr>
                    <w:widowControl/>
                    <w:jc w:val="center"/>
                    <w:textAlignment w:val="center"/>
                    <w:rPr>
                      <w:rFonts w:cs="Times New Roman"/>
                      <w:sz w:val="18"/>
                      <w:szCs w:val="18"/>
                    </w:rPr>
                  </w:pPr>
                  <w:r>
                    <w:rPr>
                      <w:rFonts w:hint="eastAsia" w:cs="Times New Roman"/>
                      <w:sz w:val="18"/>
                      <w:szCs w:val="18"/>
                    </w:rPr>
                    <w:t>0.41</w:t>
                  </w:r>
                </w:p>
              </w:tc>
              <w:tc>
                <w:tcPr>
                  <w:tcW w:w="820" w:type="dxa"/>
                  <w:vAlign w:val="center"/>
                </w:tcPr>
                <w:p>
                  <w:pPr>
                    <w:widowControl/>
                    <w:jc w:val="center"/>
                    <w:textAlignment w:val="center"/>
                    <w:rPr>
                      <w:rFonts w:cs="Times New Roman"/>
                      <w:sz w:val="18"/>
                      <w:szCs w:val="18"/>
                    </w:rPr>
                  </w:pPr>
                  <w:r>
                    <w:rPr>
                      <w:rFonts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7" w:type="dxa"/>
                  <w:vMerge w:val="continue"/>
                  <w:vAlign w:val="center"/>
                </w:tcPr>
                <w:p>
                  <w:pPr>
                    <w:widowControl/>
                    <w:jc w:val="center"/>
                    <w:textAlignment w:val="center"/>
                    <w:rPr>
                      <w:rFonts w:cs="Times New Roman"/>
                      <w:sz w:val="18"/>
                      <w:szCs w:val="18"/>
                    </w:rPr>
                  </w:pPr>
                </w:p>
              </w:tc>
              <w:tc>
                <w:tcPr>
                  <w:tcW w:w="879" w:type="dxa"/>
                  <w:vAlign w:val="center"/>
                </w:tcPr>
                <w:p>
                  <w:pPr>
                    <w:widowControl/>
                    <w:jc w:val="center"/>
                    <w:textAlignment w:val="center"/>
                    <w:rPr>
                      <w:rFonts w:cs="Times New Roman"/>
                      <w:sz w:val="18"/>
                      <w:szCs w:val="18"/>
                    </w:rPr>
                  </w:pPr>
                  <w:r>
                    <w:rPr>
                      <w:rFonts w:cs="Times New Roman"/>
                      <w:sz w:val="18"/>
                      <w:szCs w:val="18"/>
                    </w:rPr>
                    <w:t>超标倍数</w:t>
                  </w:r>
                </w:p>
              </w:tc>
              <w:tc>
                <w:tcPr>
                  <w:tcW w:w="508"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14"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665"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820" w:type="dxa"/>
                  <w:vAlign w:val="center"/>
                </w:tcPr>
                <w:p>
                  <w:pPr>
                    <w:widowControl/>
                    <w:jc w:val="center"/>
                    <w:textAlignment w:val="center"/>
                    <w:rPr>
                      <w:rFonts w:cs="Times New Roman"/>
                      <w:sz w:val="18"/>
                      <w:szCs w:val="18"/>
                    </w:rPr>
                  </w:pPr>
                  <w:r>
                    <w:rPr>
                      <w:rFonts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7" w:type="dxa"/>
                  <w:vMerge w:val="restart"/>
                  <w:vAlign w:val="center"/>
                </w:tcPr>
                <w:p>
                  <w:pPr>
                    <w:widowControl/>
                    <w:jc w:val="center"/>
                    <w:textAlignment w:val="center"/>
                    <w:rPr>
                      <w:rFonts w:cs="Times New Roman"/>
                      <w:sz w:val="18"/>
                      <w:szCs w:val="18"/>
                    </w:rPr>
                  </w:pPr>
                  <w:r>
                    <w:rPr>
                      <w:rFonts w:cs="Times New Roman"/>
                      <w:sz w:val="18"/>
                      <w:szCs w:val="18"/>
                    </w:rPr>
                    <w:t>氨氮</w:t>
                  </w:r>
                </w:p>
              </w:tc>
              <w:tc>
                <w:tcPr>
                  <w:tcW w:w="879" w:type="dxa"/>
                  <w:vAlign w:val="center"/>
                </w:tcPr>
                <w:p>
                  <w:pPr>
                    <w:widowControl/>
                    <w:jc w:val="center"/>
                    <w:textAlignment w:val="center"/>
                    <w:rPr>
                      <w:rFonts w:cs="Times New Roman"/>
                      <w:sz w:val="18"/>
                      <w:szCs w:val="18"/>
                    </w:rPr>
                  </w:pPr>
                  <w:r>
                    <w:rPr>
                      <w:rFonts w:cs="Times New Roman"/>
                      <w:sz w:val="18"/>
                      <w:szCs w:val="18"/>
                    </w:rPr>
                    <w:t>监测数据</w:t>
                  </w:r>
                </w:p>
              </w:tc>
              <w:tc>
                <w:tcPr>
                  <w:tcW w:w="508" w:type="dxa"/>
                  <w:vAlign w:val="center"/>
                </w:tcPr>
                <w:p>
                  <w:pPr>
                    <w:widowControl/>
                    <w:jc w:val="center"/>
                    <w:textAlignment w:val="center"/>
                    <w:rPr>
                      <w:rFonts w:cs="Times New Roman"/>
                      <w:sz w:val="18"/>
                      <w:szCs w:val="18"/>
                    </w:rPr>
                  </w:pPr>
                  <w:r>
                    <w:rPr>
                      <w:rFonts w:hint="eastAsia" w:cs="Times New Roman"/>
                      <w:sz w:val="18"/>
                      <w:szCs w:val="18"/>
                    </w:rPr>
                    <w:t>0.25</w:t>
                  </w:r>
                </w:p>
              </w:tc>
              <w:tc>
                <w:tcPr>
                  <w:tcW w:w="507" w:type="dxa"/>
                  <w:vAlign w:val="center"/>
                </w:tcPr>
                <w:p>
                  <w:pPr>
                    <w:widowControl/>
                    <w:jc w:val="center"/>
                    <w:textAlignment w:val="center"/>
                    <w:rPr>
                      <w:rFonts w:cs="Times New Roman"/>
                      <w:sz w:val="18"/>
                      <w:szCs w:val="18"/>
                    </w:rPr>
                  </w:pPr>
                  <w:r>
                    <w:rPr>
                      <w:rFonts w:hint="eastAsia" w:cs="Times New Roman"/>
                      <w:sz w:val="18"/>
                      <w:szCs w:val="18"/>
                    </w:rPr>
                    <w:t>0.49</w:t>
                  </w:r>
                </w:p>
              </w:tc>
              <w:tc>
                <w:tcPr>
                  <w:tcW w:w="507" w:type="dxa"/>
                  <w:vAlign w:val="center"/>
                </w:tcPr>
                <w:p>
                  <w:pPr>
                    <w:widowControl/>
                    <w:jc w:val="center"/>
                    <w:textAlignment w:val="center"/>
                    <w:rPr>
                      <w:rFonts w:cs="Times New Roman"/>
                      <w:sz w:val="18"/>
                      <w:szCs w:val="18"/>
                    </w:rPr>
                  </w:pPr>
                  <w:r>
                    <w:rPr>
                      <w:rFonts w:hint="eastAsia" w:cs="Times New Roman"/>
                      <w:sz w:val="18"/>
                      <w:szCs w:val="18"/>
                    </w:rPr>
                    <w:t>0.95</w:t>
                  </w:r>
                </w:p>
              </w:tc>
              <w:tc>
                <w:tcPr>
                  <w:tcW w:w="507" w:type="dxa"/>
                  <w:vAlign w:val="center"/>
                </w:tcPr>
                <w:p>
                  <w:pPr>
                    <w:widowControl/>
                    <w:jc w:val="center"/>
                    <w:textAlignment w:val="center"/>
                    <w:rPr>
                      <w:rFonts w:cs="Times New Roman"/>
                      <w:sz w:val="18"/>
                      <w:szCs w:val="18"/>
                    </w:rPr>
                  </w:pPr>
                  <w:r>
                    <w:rPr>
                      <w:rFonts w:hint="eastAsia" w:cs="Times New Roman"/>
                      <w:sz w:val="18"/>
                      <w:szCs w:val="18"/>
                    </w:rPr>
                    <w:t>0.97</w:t>
                  </w:r>
                </w:p>
              </w:tc>
              <w:tc>
                <w:tcPr>
                  <w:tcW w:w="507" w:type="dxa"/>
                  <w:vAlign w:val="center"/>
                </w:tcPr>
                <w:p>
                  <w:pPr>
                    <w:widowControl/>
                    <w:jc w:val="center"/>
                    <w:textAlignment w:val="center"/>
                    <w:rPr>
                      <w:rFonts w:cs="Times New Roman"/>
                      <w:b/>
                      <w:bCs/>
                      <w:sz w:val="18"/>
                      <w:szCs w:val="18"/>
                    </w:rPr>
                  </w:pPr>
                  <w:r>
                    <w:rPr>
                      <w:rFonts w:hint="eastAsia" w:cs="Times New Roman"/>
                      <w:b/>
                      <w:bCs/>
                      <w:sz w:val="18"/>
                      <w:szCs w:val="18"/>
                    </w:rPr>
                    <w:t>1.51</w:t>
                  </w:r>
                </w:p>
              </w:tc>
              <w:tc>
                <w:tcPr>
                  <w:tcW w:w="507" w:type="dxa"/>
                  <w:vAlign w:val="center"/>
                </w:tcPr>
                <w:p>
                  <w:pPr>
                    <w:widowControl/>
                    <w:jc w:val="center"/>
                    <w:textAlignment w:val="center"/>
                    <w:rPr>
                      <w:rFonts w:cs="Times New Roman"/>
                      <w:sz w:val="18"/>
                      <w:szCs w:val="18"/>
                    </w:rPr>
                  </w:pPr>
                  <w:r>
                    <w:rPr>
                      <w:rFonts w:hint="eastAsia" w:cs="Times New Roman"/>
                      <w:sz w:val="18"/>
                      <w:szCs w:val="18"/>
                    </w:rPr>
                    <w:t>0.61</w:t>
                  </w:r>
                </w:p>
              </w:tc>
              <w:tc>
                <w:tcPr>
                  <w:tcW w:w="507" w:type="dxa"/>
                  <w:vAlign w:val="center"/>
                </w:tcPr>
                <w:p>
                  <w:pPr>
                    <w:widowControl/>
                    <w:jc w:val="center"/>
                    <w:textAlignment w:val="center"/>
                    <w:rPr>
                      <w:rFonts w:cs="Times New Roman"/>
                      <w:sz w:val="18"/>
                      <w:szCs w:val="18"/>
                    </w:rPr>
                  </w:pPr>
                  <w:r>
                    <w:rPr>
                      <w:rFonts w:hint="eastAsia" w:cs="Times New Roman"/>
                      <w:sz w:val="18"/>
                      <w:szCs w:val="18"/>
                    </w:rPr>
                    <w:t>0.27</w:t>
                  </w:r>
                </w:p>
              </w:tc>
              <w:tc>
                <w:tcPr>
                  <w:tcW w:w="507" w:type="dxa"/>
                  <w:vAlign w:val="center"/>
                </w:tcPr>
                <w:p>
                  <w:pPr>
                    <w:widowControl/>
                    <w:jc w:val="center"/>
                    <w:textAlignment w:val="center"/>
                    <w:rPr>
                      <w:rFonts w:cs="Times New Roman"/>
                      <w:sz w:val="18"/>
                      <w:szCs w:val="18"/>
                    </w:rPr>
                  </w:pPr>
                  <w:r>
                    <w:rPr>
                      <w:rFonts w:hint="eastAsia" w:cs="Times New Roman"/>
                      <w:sz w:val="18"/>
                      <w:szCs w:val="18"/>
                    </w:rPr>
                    <w:t>0.39</w:t>
                  </w:r>
                </w:p>
              </w:tc>
              <w:tc>
                <w:tcPr>
                  <w:tcW w:w="507" w:type="dxa"/>
                  <w:vAlign w:val="center"/>
                </w:tcPr>
                <w:p>
                  <w:pPr>
                    <w:widowControl/>
                    <w:jc w:val="center"/>
                    <w:textAlignment w:val="center"/>
                    <w:rPr>
                      <w:rFonts w:cs="Times New Roman"/>
                      <w:sz w:val="18"/>
                      <w:szCs w:val="18"/>
                    </w:rPr>
                  </w:pPr>
                  <w:r>
                    <w:rPr>
                      <w:rFonts w:hint="eastAsia" w:cs="Times New Roman"/>
                      <w:sz w:val="18"/>
                      <w:szCs w:val="18"/>
                    </w:rPr>
                    <w:t>0.39</w:t>
                  </w:r>
                </w:p>
              </w:tc>
              <w:tc>
                <w:tcPr>
                  <w:tcW w:w="507" w:type="dxa"/>
                  <w:vAlign w:val="center"/>
                </w:tcPr>
                <w:p>
                  <w:pPr>
                    <w:widowControl/>
                    <w:jc w:val="center"/>
                    <w:textAlignment w:val="center"/>
                    <w:rPr>
                      <w:rFonts w:cs="Times New Roman"/>
                      <w:sz w:val="18"/>
                      <w:szCs w:val="18"/>
                    </w:rPr>
                  </w:pPr>
                  <w:r>
                    <w:rPr>
                      <w:rFonts w:hint="eastAsia" w:cs="Times New Roman"/>
                      <w:sz w:val="18"/>
                      <w:szCs w:val="18"/>
                    </w:rPr>
                    <w:t>0.30</w:t>
                  </w:r>
                </w:p>
              </w:tc>
              <w:tc>
                <w:tcPr>
                  <w:tcW w:w="507" w:type="dxa"/>
                  <w:vAlign w:val="center"/>
                </w:tcPr>
                <w:p>
                  <w:pPr>
                    <w:widowControl/>
                    <w:jc w:val="center"/>
                    <w:textAlignment w:val="center"/>
                    <w:rPr>
                      <w:rFonts w:cs="Times New Roman"/>
                      <w:sz w:val="18"/>
                      <w:szCs w:val="18"/>
                    </w:rPr>
                  </w:pPr>
                  <w:r>
                    <w:rPr>
                      <w:rFonts w:hint="eastAsia" w:cs="Times New Roman"/>
                      <w:sz w:val="18"/>
                      <w:szCs w:val="18"/>
                    </w:rPr>
                    <w:t>0.37</w:t>
                  </w:r>
                </w:p>
              </w:tc>
              <w:tc>
                <w:tcPr>
                  <w:tcW w:w="514" w:type="dxa"/>
                  <w:vAlign w:val="center"/>
                </w:tcPr>
                <w:p>
                  <w:pPr>
                    <w:widowControl/>
                    <w:jc w:val="center"/>
                    <w:textAlignment w:val="center"/>
                    <w:rPr>
                      <w:rFonts w:cs="Times New Roman"/>
                      <w:b/>
                      <w:bCs/>
                      <w:sz w:val="18"/>
                      <w:szCs w:val="18"/>
                    </w:rPr>
                  </w:pPr>
                  <w:r>
                    <w:rPr>
                      <w:rFonts w:hint="eastAsia" w:cs="Times New Roman"/>
                      <w:b/>
                      <w:bCs/>
                      <w:sz w:val="18"/>
                      <w:szCs w:val="18"/>
                    </w:rPr>
                    <w:t>1.67</w:t>
                  </w:r>
                </w:p>
              </w:tc>
              <w:tc>
                <w:tcPr>
                  <w:tcW w:w="665" w:type="dxa"/>
                  <w:vAlign w:val="center"/>
                </w:tcPr>
                <w:p>
                  <w:pPr>
                    <w:widowControl/>
                    <w:jc w:val="center"/>
                    <w:textAlignment w:val="center"/>
                    <w:rPr>
                      <w:rFonts w:cs="Times New Roman"/>
                      <w:sz w:val="18"/>
                      <w:szCs w:val="18"/>
                    </w:rPr>
                  </w:pPr>
                  <w:r>
                    <w:rPr>
                      <w:rFonts w:hint="eastAsia" w:cs="Times New Roman"/>
                      <w:sz w:val="18"/>
                      <w:szCs w:val="18"/>
                    </w:rPr>
                    <w:t>0.68</w:t>
                  </w:r>
                </w:p>
              </w:tc>
              <w:tc>
                <w:tcPr>
                  <w:tcW w:w="820" w:type="dxa"/>
                  <w:vAlign w:val="center"/>
                </w:tcPr>
                <w:p>
                  <w:pPr>
                    <w:widowControl/>
                    <w:jc w:val="center"/>
                    <w:textAlignment w:val="center"/>
                    <w:rPr>
                      <w:rFonts w:cs="Times New Roman"/>
                      <w:sz w:val="18"/>
                      <w:szCs w:val="18"/>
                    </w:rPr>
                  </w:pPr>
                  <w:r>
                    <w:rPr>
                      <w:rFonts w:cs="Times New Roman"/>
                      <w:sz w:val="18"/>
                      <w:szCs w:val="18"/>
                    </w:rPr>
                    <w:t>≤</w:t>
                  </w:r>
                  <w:r>
                    <w:rPr>
                      <w:rFonts w:hint="eastAsia" w:cs="Times New Roman"/>
                      <w:sz w:val="18"/>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7" w:type="dxa"/>
                  <w:vMerge w:val="continue"/>
                  <w:vAlign w:val="center"/>
                </w:tcPr>
                <w:p>
                  <w:pPr>
                    <w:widowControl/>
                    <w:jc w:val="center"/>
                    <w:textAlignment w:val="center"/>
                    <w:rPr>
                      <w:rFonts w:cs="Times New Roman"/>
                      <w:sz w:val="18"/>
                      <w:szCs w:val="18"/>
                    </w:rPr>
                  </w:pPr>
                </w:p>
              </w:tc>
              <w:tc>
                <w:tcPr>
                  <w:tcW w:w="879" w:type="dxa"/>
                  <w:vAlign w:val="center"/>
                </w:tcPr>
                <w:p>
                  <w:pPr>
                    <w:widowControl/>
                    <w:jc w:val="center"/>
                    <w:textAlignment w:val="center"/>
                    <w:rPr>
                      <w:rFonts w:cs="Times New Roman"/>
                      <w:sz w:val="18"/>
                      <w:szCs w:val="18"/>
                    </w:rPr>
                  </w:pPr>
                  <w:r>
                    <w:rPr>
                      <w:rFonts w:cs="Times New Roman"/>
                      <w:sz w:val="18"/>
                      <w:szCs w:val="18"/>
                    </w:rPr>
                    <w:t>水质指数</w:t>
                  </w:r>
                </w:p>
              </w:tc>
              <w:tc>
                <w:tcPr>
                  <w:tcW w:w="508" w:type="dxa"/>
                  <w:vAlign w:val="center"/>
                </w:tcPr>
                <w:p>
                  <w:pPr>
                    <w:widowControl/>
                    <w:jc w:val="center"/>
                    <w:textAlignment w:val="center"/>
                    <w:rPr>
                      <w:rFonts w:cs="Times New Roman"/>
                      <w:sz w:val="18"/>
                      <w:szCs w:val="18"/>
                    </w:rPr>
                  </w:pPr>
                  <w:r>
                    <w:rPr>
                      <w:rFonts w:hint="eastAsia" w:cs="Times New Roman"/>
                      <w:sz w:val="18"/>
                      <w:szCs w:val="18"/>
                    </w:rPr>
                    <w:t>0.17</w:t>
                  </w:r>
                </w:p>
              </w:tc>
              <w:tc>
                <w:tcPr>
                  <w:tcW w:w="507" w:type="dxa"/>
                  <w:vAlign w:val="center"/>
                </w:tcPr>
                <w:p>
                  <w:pPr>
                    <w:widowControl/>
                    <w:jc w:val="center"/>
                    <w:textAlignment w:val="center"/>
                    <w:rPr>
                      <w:rFonts w:cs="Times New Roman"/>
                      <w:sz w:val="18"/>
                      <w:szCs w:val="18"/>
                    </w:rPr>
                  </w:pPr>
                  <w:r>
                    <w:rPr>
                      <w:rFonts w:hint="eastAsia" w:cs="Times New Roman"/>
                      <w:sz w:val="18"/>
                      <w:szCs w:val="18"/>
                    </w:rPr>
                    <w:t>0.33</w:t>
                  </w:r>
                </w:p>
              </w:tc>
              <w:tc>
                <w:tcPr>
                  <w:tcW w:w="507" w:type="dxa"/>
                  <w:vAlign w:val="center"/>
                </w:tcPr>
                <w:p>
                  <w:pPr>
                    <w:widowControl/>
                    <w:jc w:val="center"/>
                    <w:textAlignment w:val="center"/>
                    <w:rPr>
                      <w:rFonts w:cs="Times New Roman"/>
                      <w:sz w:val="18"/>
                      <w:szCs w:val="18"/>
                    </w:rPr>
                  </w:pPr>
                  <w:r>
                    <w:rPr>
                      <w:rFonts w:hint="eastAsia" w:cs="Times New Roman"/>
                      <w:sz w:val="18"/>
                      <w:szCs w:val="18"/>
                    </w:rPr>
                    <w:t>0.63</w:t>
                  </w:r>
                </w:p>
              </w:tc>
              <w:tc>
                <w:tcPr>
                  <w:tcW w:w="507" w:type="dxa"/>
                  <w:vAlign w:val="center"/>
                </w:tcPr>
                <w:p>
                  <w:pPr>
                    <w:widowControl/>
                    <w:jc w:val="center"/>
                    <w:textAlignment w:val="center"/>
                    <w:rPr>
                      <w:rFonts w:cs="Times New Roman"/>
                      <w:sz w:val="18"/>
                      <w:szCs w:val="18"/>
                    </w:rPr>
                  </w:pPr>
                  <w:r>
                    <w:rPr>
                      <w:rFonts w:hint="eastAsia" w:cs="Times New Roman"/>
                      <w:sz w:val="18"/>
                      <w:szCs w:val="18"/>
                    </w:rPr>
                    <w:t>0.65</w:t>
                  </w:r>
                </w:p>
              </w:tc>
              <w:tc>
                <w:tcPr>
                  <w:tcW w:w="507" w:type="dxa"/>
                  <w:vAlign w:val="center"/>
                </w:tcPr>
                <w:p>
                  <w:pPr>
                    <w:widowControl/>
                    <w:jc w:val="center"/>
                    <w:textAlignment w:val="center"/>
                    <w:rPr>
                      <w:rFonts w:cs="Times New Roman"/>
                      <w:b/>
                      <w:bCs/>
                      <w:sz w:val="18"/>
                      <w:szCs w:val="18"/>
                    </w:rPr>
                  </w:pPr>
                  <w:r>
                    <w:rPr>
                      <w:rFonts w:hint="eastAsia" w:cs="Times New Roman"/>
                      <w:b/>
                      <w:bCs/>
                      <w:sz w:val="18"/>
                      <w:szCs w:val="18"/>
                    </w:rPr>
                    <w:t>1.01</w:t>
                  </w:r>
                </w:p>
              </w:tc>
              <w:tc>
                <w:tcPr>
                  <w:tcW w:w="507" w:type="dxa"/>
                  <w:vAlign w:val="center"/>
                </w:tcPr>
                <w:p>
                  <w:pPr>
                    <w:widowControl/>
                    <w:jc w:val="center"/>
                    <w:textAlignment w:val="center"/>
                    <w:rPr>
                      <w:rFonts w:cs="Times New Roman"/>
                      <w:sz w:val="18"/>
                      <w:szCs w:val="18"/>
                    </w:rPr>
                  </w:pPr>
                  <w:r>
                    <w:rPr>
                      <w:rFonts w:hint="eastAsia" w:cs="Times New Roman"/>
                      <w:sz w:val="18"/>
                      <w:szCs w:val="18"/>
                    </w:rPr>
                    <w:t>0.41</w:t>
                  </w:r>
                </w:p>
              </w:tc>
              <w:tc>
                <w:tcPr>
                  <w:tcW w:w="507" w:type="dxa"/>
                  <w:vAlign w:val="center"/>
                </w:tcPr>
                <w:p>
                  <w:pPr>
                    <w:widowControl/>
                    <w:jc w:val="center"/>
                    <w:textAlignment w:val="center"/>
                    <w:rPr>
                      <w:rFonts w:cs="Times New Roman"/>
                      <w:sz w:val="18"/>
                      <w:szCs w:val="18"/>
                    </w:rPr>
                  </w:pPr>
                  <w:r>
                    <w:rPr>
                      <w:rFonts w:hint="eastAsia" w:cs="Times New Roman"/>
                      <w:sz w:val="18"/>
                      <w:szCs w:val="18"/>
                    </w:rPr>
                    <w:t>0.18</w:t>
                  </w:r>
                </w:p>
              </w:tc>
              <w:tc>
                <w:tcPr>
                  <w:tcW w:w="507" w:type="dxa"/>
                  <w:vAlign w:val="center"/>
                </w:tcPr>
                <w:p>
                  <w:pPr>
                    <w:widowControl/>
                    <w:jc w:val="center"/>
                    <w:textAlignment w:val="center"/>
                    <w:rPr>
                      <w:rFonts w:cs="Times New Roman"/>
                      <w:sz w:val="18"/>
                      <w:szCs w:val="18"/>
                    </w:rPr>
                  </w:pPr>
                  <w:r>
                    <w:rPr>
                      <w:rFonts w:hint="eastAsia" w:cs="Times New Roman"/>
                      <w:sz w:val="18"/>
                      <w:szCs w:val="18"/>
                    </w:rPr>
                    <w:t>0.26</w:t>
                  </w:r>
                </w:p>
              </w:tc>
              <w:tc>
                <w:tcPr>
                  <w:tcW w:w="507" w:type="dxa"/>
                  <w:vAlign w:val="center"/>
                </w:tcPr>
                <w:p>
                  <w:pPr>
                    <w:widowControl/>
                    <w:jc w:val="center"/>
                    <w:textAlignment w:val="center"/>
                    <w:rPr>
                      <w:rFonts w:cs="Times New Roman"/>
                      <w:sz w:val="18"/>
                      <w:szCs w:val="18"/>
                    </w:rPr>
                  </w:pPr>
                  <w:r>
                    <w:rPr>
                      <w:rFonts w:hint="eastAsia" w:cs="Times New Roman"/>
                      <w:sz w:val="18"/>
                      <w:szCs w:val="18"/>
                    </w:rPr>
                    <w:t>0.26</w:t>
                  </w:r>
                </w:p>
              </w:tc>
              <w:tc>
                <w:tcPr>
                  <w:tcW w:w="507" w:type="dxa"/>
                  <w:vAlign w:val="center"/>
                </w:tcPr>
                <w:p>
                  <w:pPr>
                    <w:widowControl/>
                    <w:jc w:val="center"/>
                    <w:textAlignment w:val="center"/>
                    <w:rPr>
                      <w:rFonts w:cs="Times New Roman"/>
                      <w:sz w:val="18"/>
                      <w:szCs w:val="18"/>
                    </w:rPr>
                  </w:pPr>
                  <w:r>
                    <w:rPr>
                      <w:rFonts w:hint="eastAsia" w:cs="Times New Roman"/>
                      <w:sz w:val="18"/>
                      <w:szCs w:val="18"/>
                    </w:rPr>
                    <w:t>0.20</w:t>
                  </w:r>
                </w:p>
              </w:tc>
              <w:tc>
                <w:tcPr>
                  <w:tcW w:w="507" w:type="dxa"/>
                  <w:vAlign w:val="center"/>
                </w:tcPr>
                <w:p>
                  <w:pPr>
                    <w:widowControl/>
                    <w:jc w:val="center"/>
                    <w:textAlignment w:val="center"/>
                    <w:rPr>
                      <w:rFonts w:cs="Times New Roman"/>
                      <w:sz w:val="18"/>
                      <w:szCs w:val="18"/>
                    </w:rPr>
                  </w:pPr>
                  <w:r>
                    <w:rPr>
                      <w:rFonts w:hint="eastAsia" w:cs="Times New Roman"/>
                      <w:sz w:val="18"/>
                      <w:szCs w:val="18"/>
                    </w:rPr>
                    <w:t>0.25</w:t>
                  </w:r>
                </w:p>
              </w:tc>
              <w:tc>
                <w:tcPr>
                  <w:tcW w:w="514" w:type="dxa"/>
                  <w:vAlign w:val="center"/>
                </w:tcPr>
                <w:p>
                  <w:pPr>
                    <w:widowControl/>
                    <w:jc w:val="center"/>
                    <w:textAlignment w:val="center"/>
                    <w:rPr>
                      <w:rFonts w:cs="Times New Roman"/>
                      <w:b/>
                      <w:bCs/>
                      <w:sz w:val="18"/>
                      <w:szCs w:val="18"/>
                    </w:rPr>
                  </w:pPr>
                  <w:r>
                    <w:rPr>
                      <w:rFonts w:hint="eastAsia" w:cs="Times New Roman"/>
                      <w:b/>
                      <w:bCs/>
                      <w:sz w:val="18"/>
                      <w:szCs w:val="18"/>
                    </w:rPr>
                    <w:t>1.11</w:t>
                  </w:r>
                </w:p>
              </w:tc>
              <w:tc>
                <w:tcPr>
                  <w:tcW w:w="665" w:type="dxa"/>
                  <w:vAlign w:val="center"/>
                </w:tcPr>
                <w:p>
                  <w:pPr>
                    <w:widowControl/>
                    <w:jc w:val="center"/>
                    <w:textAlignment w:val="center"/>
                    <w:rPr>
                      <w:rFonts w:cs="Times New Roman"/>
                      <w:sz w:val="18"/>
                      <w:szCs w:val="18"/>
                    </w:rPr>
                  </w:pPr>
                  <w:r>
                    <w:rPr>
                      <w:rFonts w:hint="eastAsia" w:cs="Times New Roman"/>
                      <w:sz w:val="18"/>
                      <w:szCs w:val="18"/>
                    </w:rPr>
                    <w:t>0.45</w:t>
                  </w:r>
                </w:p>
              </w:tc>
              <w:tc>
                <w:tcPr>
                  <w:tcW w:w="820" w:type="dxa"/>
                  <w:vAlign w:val="center"/>
                </w:tcPr>
                <w:p>
                  <w:pPr>
                    <w:widowControl/>
                    <w:jc w:val="center"/>
                    <w:textAlignment w:val="center"/>
                    <w:rPr>
                      <w:rFonts w:cs="Times New Roman"/>
                      <w:sz w:val="18"/>
                      <w:szCs w:val="18"/>
                    </w:rPr>
                  </w:pPr>
                  <w:r>
                    <w:rPr>
                      <w:rFonts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7" w:type="dxa"/>
                  <w:vMerge w:val="continue"/>
                  <w:vAlign w:val="center"/>
                </w:tcPr>
                <w:p>
                  <w:pPr>
                    <w:widowControl/>
                    <w:jc w:val="center"/>
                    <w:textAlignment w:val="center"/>
                    <w:rPr>
                      <w:rFonts w:cs="Times New Roman"/>
                      <w:sz w:val="18"/>
                      <w:szCs w:val="18"/>
                    </w:rPr>
                  </w:pPr>
                </w:p>
              </w:tc>
              <w:tc>
                <w:tcPr>
                  <w:tcW w:w="879" w:type="dxa"/>
                  <w:vAlign w:val="center"/>
                </w:tcPr>
                <w:p>
                  <w:pPr>
                    <w:widowControl/>
                    <w:jc w:val="center"/>
                    <w:textAlignment w:val="center"/>
                    <w:rPr>
                      <w:rFonts w:cs="Times New Roman"/>
                      <w:sz w:val="18"/>
                      <w:szCs w:val="18"/>
                    </w:rPr>
                  </w:pPr>
                  <w:r>
                    <w:rPr>
                      <w:rFonts w:cs="Times New Roman"/>
                      <w:sz w:val="18"/>
                      <w:szCs w:val="18"/>
                    </w:rPr>
                    <w:t>超标倍数</w:t>
                  </w:r>
                </w:p>
              </w:tc>
              <w:tc>
                <w:tcPr>
                  <w:tcW w:w="508"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b/>
                      <w:bCs/>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b/>
                      <w:bCs/>
                      <w:kern w:val="0"/>
                      <w:sz w:val="18"/>
                      <w:szCs w:val="18"/>
                      <w:lang w:bidi="ar"/>
                    </w:rPr>
                  </w:pPr>
                  <w:r>
                    <w:rPr>
                      <w:rFonts w:hint="eastAsia" w:cs="Times New Roman"/>
                      <w:b/>
                      <w:bCs/>
                      <w:kern w:val="0"/>
                      <w:sz w:val="18"/>
                      <w:szCs w:val="18"/>
                      <w:lang w:bidi="ar"/>
                    </w:rPr>
                    <w:t>0.01</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14" w:type="dxa"/>
                  <w:vAlign w:val="center"/>
                </w:tcPr>
                <w:p>
                  <w:pPr>
                    <w:widowControl/>
                    <w:jc w:val="center"/>
                    <w:textAlignment w:val="center"/>
                    <w:rPr>
                      <w:rFonts w:cs="Times New Roman"/>
                      <w:b/>
                      <w:bCs/>
                      <w:kern w:val="0"/>
                      <w:sz w:val="18"/>
                      <w:szCs w:val="18"/>
                      <w:lang w:bidi="ar"/>
                    </w:rPr>
                  </w:pPr>
                  <w:r>
                    <w:rPr>
                      <w:rFonts w:hint="eastAsia" w:cs="Times New Roman"/>
                      <w:b/>
                      <w:bCs/>
                      <w:kern w:val="0"/>
                      <w:sz w:val="18"/>
                      <w:szCs w:val="18"/>
                      <w:lang w:bidi="ar"/>
                    </w:rPr>
                    <w:t>0.11</w:t>
                  </w:r>
                </w:p>
              </w:tc>
              <w:tc>
                <w:tcPr>
                  <w:tcW w:w="665"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820" w:type="dxa"/>
                  <w:vAlign w:val="center"/>
                </w:tcPr>
                <w:p>
                  <w:pPr>
                    <w:widowControl/>
                    <w:jc w:val="center"/>
                    <w:textAlignment w:val="center"/>
                    <w:rPr>
                      <w:rFonts w:cs="Times New Roman"/>
                      <w:sz w:val="18"/>
                      <w:szCs w:val="18"/>
                    </w:rPr>
                  </w:pPr>
                  <w:r>
                    <w:rPr>
                      <w:rFonts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7" w:type="dxa"/>
                  <w:vMerge w:val="restart"/>
                  <w:vAlign w:val="center"/>
                </w:tcPr>
                <w:p>
                  <w:pPr>
                    <w:widowControl/>
                    <w:jc w:val="center"/>
                    <w:textAlignment w:val="center"/>
                    <w:rPr>
                      <w:rFonts w:cs="Times New Roman"/>
                      <w:sz w:val="18"/>
                      <w:szCs w:val="18"/>
                    </w:rPr>
                  </w:pPr>
                  <w:r>
                    <w:rPr>
                      <w:rFonts w:cs="Times New Roman"/>
                      <w:sz w:val="18"/>
                      <w:szCs w:val="18"/>
                    </w:rPr>
                    <w:t>总磷</w:t>
                  </w:r>
                </w:p>
              </w:tc>
              <w:tc>
                <w:tcPr>
                  <w:tcW w:w="879" w:type="dxa"/>
                  <w:vAlign w:val="center"/>
                </w:tcPr>
                <w:p>
                  <w:pPr>
                    <w:widowControl/>
                    <w:jc w:val="center"/>
                    <w:textAlignment w:val="center"/>
                    <w:rPr>
                      <w:rFonts w:cs="Times New Roman"/>
                      <w:sz w:val="18"/>
                      <w:szCs w:val="18"/>
                    </w:rPr>
                  </w:pPr>
                  <w:r>
                    <w:rPr>
                      <w:rFonts w:cs="Times New Roman"/>
                      <w:sz w:val="18"/>
                      <w:szCs w:val="18"/>
                    </w:rPr>
                    <w:t>监测数据</w:t>
                  </w:r>
                </w:p>
              </w:tc>
              <w:tc>
                <w:tcPr>
                  <w:tcW w:w="508" w:type="dxa"/>
                  <w:vAlign w:val="center"/>
                </w:tcPr>
                <w:p>
                  <w:pPr>
                    <w:widowControl/>
                    <w:jc w:val="center"/>
                    <w:textAlignment w:val="center"/>
                    <w:rPr>
                      <w:rFonts w:cs="Times New Roman"/>
                      <w:sz w:val="18"/>
                      <w:szCs w:val="18"/>
                    </w:rPr>
                  </w:pPr>
                  <w:r>
                    <w:rPr>
                      <w:rFonts w:hint="eastAsia" w:cs="Times New Roman"/>
                      <w:sz w:val="18"/>
                      <w:szCs w:val="18"/>
                    </w:rPr>
                    <w:t>0.260</w:t>
                  </w:r>
                </w:p>
              </w:tc>
              <w:tc>
                <w:tcPr>
                  <w:tcW w:w="507" w:type="dxa"/>
                  <w:vAlign w:val="center"/>
                </w:tcPr>
                <w:p>
                  <w:pPr>
                    <w:widowControl/>
                    <w:jc w:val="center"/>
                    <w:textAlignment w:val="center"/>
                    <w:rPr>
                      <w:rFonts w:cs="Times New Roman"/>
                      <w:sz w:val="18"/>
                      <w:szCs w:val="18"/>
                    </w:rPr>
                  </w:pPr>
                  <w:r>
                    <w:rPr>
                      <w:rFonts w:hint="eastAsia" w:cs="Times New Roman"/>
                      <w:sz w:val="18"/>
                      <w:szCs w:val="18"/>
                    </w:rPr>
                    <w:t>0.180</w:t>
                  </w:r>
                </w:p>
              </w:tc>
              <w:tc>
                <w:tcPr>
                  <w:tcW w:w="507" w:type="dxa"/>
                  <w:vAlign w:val="center"/>
                </w:tcPr>
                <w:p>
                  <w:pPr>
                    <w:widowControl/>
                    <w:jc w:val="center"/>
                    <w:textAlignment w:val="center"/>
                    <w:rPr>
                      <w:rFonts w:cs="Times New Roman"/>
                      <w:sz w:val="18"/>
                      <w:szCs w:val="18"/>
                    </w:rPr>
                  </w:pPr>
                  <w:r>
                    <w:rPr>
                      <w:rFonts w:hint="eastAsia" w:cs="Times New Roman"/>
                      <w:sz w:val="18"/>
                      <w:szCs w:val="18"/>
                    </w:rPr>
                    <w:t>0.135</w:t>
                  </w:r>
                </w:p>
              </w:tc>
              <w:tc>
                <w:tcPr>
                  <w:tcW w:w="507" w:type="dxa"/>
                  <w:vAlign w:val="center"/>
                </w:tcPr>
                <w:p>
                  <w:pPr>
                    <w:widowControl/>
                    <w:jc w:val="center"/>
                    <w:textAlignment w:val="center"/>
                    <w:rPr>
                      <w:rFonts w:cs="Times New Roman"/>
                      <w:sz w:val="18"/>
                      <w:szCs w:val="18"/>
                    </w:rPr>
                  </w:pPr>
                  <w:r>
                    <w:rPr>
                      <w:rFonts w:hint="eastAsia" w:cs="Times New Roman"/>
                      <w:sz w:val="18"/>
                      <w:szCs w:val="18"/>
                    </w:rPr>
                    <w:t>0.190</w:t>
                  </w:r>
                </w:p>
              </w:tc>
              <w:tc>
                <w:tcPr>
                  <w:tcW w:w="507" w:type="dxa"/>
                  <w:vAlign w:val="center"/>
                </w:tcPr>
                <w:p>
                  <w:pPr>
                    <w:widowControl/>
                    <w:jc w:val="center"/>
                    <w:textAlignment w:val="center"/>
                    <w:rPr>
                      <w:rFonts w:cs="Times New Roman"/>
                      <w:sz w:val="18"/>
                      <w:szCs w:val="18"/>
                    </w:rPr>
                  </w:pPr>
                  <w:r>
                    <w:rPr>
                      <w:rFonts w:hint="eastAsia" w:cs="Times New Roman"/>
                      <w:sz w:val="18"/>
                      <w:szCs w:val="18"/>
                    </w:rPr>
                    <w:t>0.247</w:t>
                  </w:r>
                </w:p>
              </w:tc>
              <w:tc>
                <w:tcPr>
                  <w:tcW w:w="507" w:type="dxa"/>
                  <w:vAlign w:val="center"/>
                </w:tcPr>
                <w:p>
                  <w:pPr>
                    <w:widowControl/>
                    <w:jc w:val="center"/>
                    <w:textAlignment w:val="center"/>
                    <w:rPr>
                      <w:rFonts w:cs="Times New Roman"/>
                      <w:b/>
                      <w:bCs/>
                      <w:sz w:val="18"/>
                      <w:szCs w:val="18"/>
                    </w:rPr>
                  </w:pPr>
                  <w:r>
                    <w:rPr>
                      <w:rFonts w:hint="eastAsia" w:cs="Times New Roman"/>
                      <w:b/>
                      <w:bCs/>
                      <w:sz w:val="18"/>
                      <w:szCs w:val="18"/>
                    </w:rPr>
                    <w:t>0.340</w:t>
                  </w:r>
                </w:p>
              </w:tc>
              <w:tc>
                <w:tcPr>
                  <w:tcW w:w="507" w:type="dxa"/>
                  <w:vAlign w:val="center"/>
                </w:tcPr>
                <w:p>
                  <w:pPr>
                    <w:widowControl/>
                    <w:jc w:val="center"/>
                    <w:textAlignment w:val="center"/>
                    <w:rPr>
                      <w:rFonts w:cs="Times New Roman"/>
                      <w:sz w:val="18"/>
                      <w:szCs w:val="18"/>
                    </w:rPr>
                  </w:pPr>
                  <w:r>
                    <w:rPr>
                      <w:rFonts w:hint="eastAsia" w:cs="Times New Roman"/>
                      <w:sz w:val="18"/>
                      <w:szCs w:val="18"/>
                    </w:rPr>
                    <w:t>0.223</w:t>
                  </w:r>
                </w:p>
              </w:tc>
              <w:tc>
                <w:tcPr>
                  <w:tcW w:w="507" w:type="dxa"/>
                  <w:vAlign w:val="center"/>
                </w:tcPr>
                <w:p>
                  <w:pPr>
                    <w:widowControl/>
                    <w:jc w:val="center"/>
                    <w:textAlignment w:val="center"/>
                    <w:rPr>
                      <w:rFonts w:cs="Times New Roman"/>
                      <w:sz w:val="18"/>
                      <w:szCs w:val="18"/>
                    </w:rPr>
                  </w:pPr>
                  <w:r>
                    <w:rPr>
                      <w:rFonts w:hint="eastAsia" w:cs="Times New Roman"/>
                      <w:sz w:val="18"/>
                      <w:szCs w:val="18"/>
                    </w:rPr>
                    <w:t>0.217</w:t>
                  </w:r>
                </w:p>
              </w:tc>
              <w:tc>
                <w:tcPr>
                  <w:tcW w:w="507" w:type="dxa"/>
                  <w:vAlign w:val="center"/>
                </w:tcPr>
                <w:p>
                  <w:pPr>
                    <w:widowControl/>
                    <w:jc w:val="center"/>
                    <w:textAlignment w:val="center"/>
                    <w:rPr>
                      <w:rFonts w:cs="Times New Roman"/>
                      <w:sz w:val="18"/>
                      <w:szCs w:val="18"/>
                    </w:rPr>
                  </w:pPr>
                  <w:r>
                    <w:rPr>
                      <w:rFonts w:hint="eastAsia" w:cs="Times New Roman"/>
                      <w:sz w:val="18"/>
                      <w:szCs w:val="18"/>
                    </w:rPr>
                    <w:t>0.200</w:t>
                  </w:r>
                </w:p>
              </w:tc>
              <w:tc>
                <w:tcPr>
                  <w:tcW w:w="507" w:type="dxa"/>
                  <w:vAlign w:val="center"/>
                </w:tcPr>
                <w:p>
                  <w:pPr>
                    <w:widowControl/>
                    <w:jc w:val="center"/>
                    <w:textAlignment w:val="center"/>
                    <w:rPr>
                      <w:rFonts w:cs="Times New Roman"/>
                      <w:sz w:val="18"/>
                      <w:szCs w:val="18"/>
                    </w:rPr>
                  </w:pPr>
                  <w:r>
                    <w:rPr>
                      <w:rFonts w:hint="eastAsia" w:cs="Times New Roman"/>
                      <w:sz w:val="18"/>
                      <w:szCs w:val="18"/>
                    </w:rPr>
                    <w:t>0.210</w:t>
                  </w:r>
                </w:p>
              </w:tc>
              <w:tc>
                <w:tcPr>
                  <w:tcW w:w="507" w:type="dxa"/>
                  <w:vAlign w:val="center"/>
                </w:tcPr>
                <w:p>
                  <w:pPr>
                    <w:widowControl/>
                    <w:jc w:val="center"/>
                    <w:textAlignment w:val="center"/>
                    <w:rPr>
                      <w:rFonts w:cs="Times New Roman"/>
                      <w:sz w:val="18"/>
                      <w:szCs w:val="18"/>
                    </w:rPr>
                  </w:pPr>
                  <w:r>
                    <w:rPr>
                      <w:rFonts w:hint="eastAsia" w:cs="Times New Roman"/>
                      <w:sz w:val="18"/>
                      <w:szCs w:val="18"/>
                    </w:rPr>
                    <w:t>0.243</w:t>
                  </w:r>
                </w:p>
              </w:tc>
              <w:tc>
                <w:tcPr>
                  <w:tcW w:w="514" w:type="dxa"/>
                  <w:vAlign w:val="center"/>
                </w:tcPr>
                <w:p>
                  <w:pPr>
                    <w:widowControl/>
                    <w:jc w:val="center"/>
                    <w:textAlignment w:val="center"/>
                    <w:rPr>
                      <w:rFonts w:cs="Times New Roman"/>
                      <w:sz w:val="18"/>
                      <w:szCs w:val="18"/>
                    </w:rPr>
                  </w:pPr>
                  <w:r>
                    <w:rPr>
                      <w:rFonts w:hint="eastAsia" w:cs="Times New Roman"/>
                      <w:sz w:val="18"/>
                      <w:szCs w:val="18"/>
                    </w:rPr>
                    <w:t>0.263</w:t>
                  </w:r>
                </w:p>
              </w:tc>
              <w:tc>
                <w:tcPr>
                  <w:tcW w:w="665" w:type="dxa"/>
                  <w:vAlign w:val="center"/>
                </w:tcPr>
                <w:p>
                  <w:pPr>
                    <w:widowControl/>
                    <w:jc w:val="center"/>
                    <w:textAlignment w:val="center"/>
                    <w:rPr>
                      <w:rFonts w:cs="Times New Roman"/>
                      <w:sz w:val="18"/>
                      <w:szCs w:val="18"/>
                    </w:rPr>
                  </w:pPr>
                  <w:r>
                    <w:rPr>
                      <w:rFonts w:hint="eastAsia" w:cs="Times New Roman"/>
                      <w:sz w:val="18"/>
                      <w:szCs w:val="18"/>
                    </w:rPr>
                    <w:t>0.226</w:t>
                  </w:r>
                </w:p>
              </w:tc>
              <w:tc>
                <w:tcPr>
                  <w:tcW w:w="820" w:type="dxa"/>
                  <w:vAlign w:val="center"/>
                </w:tcPr>
                <w:p>
                  <w:pPr>
                    <w:widowControl/>
                    <w:jc w:val="center"/>
                    <w:textAlignment w:val="center"/>
                    <w:rPr>
                      <w:rFonts w:cs="Times New Roman"/>
                      <w:sz w:val="18"/>
                      <w:szCs w:val="18"/>
                    </w:rPr>
                  </w:pPr>
                  <w:r>
                    <w:rPr>
                      <w:rFonts w:cs="Times New Roman"/>
                      <w:sz w:val="18"/>
                      <w:szCs w:val="18"/>
                    </w:rPr>
                    <w:t>≤</w:t>
                  </w:r>
                  <w:r>
                    <w:rPr>
                      <w:rFonts w:hint="eastAsia" w:cs="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7" w:type="dxa"/>
                  <w:vMerge w:val="continue"/>
                  <w:vAlign w:val="center"/>
                </w:tcPr>
                <w:p>
                  <w:pPr>
                    <w:widowControl/>
                    <w:jc w:val="center"/>
                    <w:textAlignment w:val="center"/>
                    <w:rPr>
                      <w:rFonts w:cs="Times New Roman"/>
                      <w:sz w:val="18"/>
                      <w:szCs w:val="18"/>
                    </w:rPr>
                  </w:pPr>
                </w:p>
              </w:tc>
              <w:tc>
                <w:tcPr>
                  <w:tcW w:w="879" w:type="dxa"/>
                  <w:vAlign w:val="center"/>
                </w:tcPr>
                <w:p>
                  <w:pPr>
                    <w:widowControl/>
                    <w:jc w:val="center"/>
                    <w:textAlignment w:val="center"/>
                    <w:rPr>
                      <w:rFonts w:cs="Times New Roman"/>
                      <w:sz w:val="18"/>
                      <w:szCs w:val="18"/>
                    </w:rPr>
                  </w:pPr>
                  <w:r>
                    <w:rPr>
                      <w:rFonts w:cs="Times New Roman"/>
                      <w:sz w:val="18"/>
                      <w:szCs w:val="18"/>
                    </w:rPr>
                    <w:t>水质指数</w:t>
                  </w:r>
                </w:p>
              </w:tc>
              <w:tc>
                <w:tcPr>
                  <w:tcW w:w="508" w:type="dxa"/>
                  <w:vAlign w:val="center"/>
                </w:tcPr>
                <w:p>
                  <w:pPr>
                    <w:widowControl/>
                    <w:jc w:val="center"/>
                    <w:textAlignment w:val="center"/>
                    <w:rPr>
                      <w:rFonts w:cs="Times New Roman"/>
                      <w:sz w:val="18"/>
                      <w:szCs w:val="18"/>
                    </w:rPr>
                  </w:pPr>
                  <w:r>
                    <w:rPr>
                      <w:rFonts w:hint="eastAsia" w:cs="Times New Roman"/>
                      <w:sz w:val="18"/>
                      <w:szCs w:val="18"/>
                    </w:rPr>
                    <w:t>0.87</w:t>
                  </w:r>
                </w:p>
              </w:tc>
              <w:tc>
                <w:tcPr>
                  <w:tcW w:w="507" w:type="dxa"/>
                  <w:vAlign w:val="center"/>
                </w:tcPr>
                <w:p>
                  <w:pPr>
                    <w:widowControl/>
                    <w:jc w:val="center"/>
                    <w:textAlignment w:val="center"/>
                    <w:rPr>
                      <w:rFonts w:cs="Times New Roman"/>
                      <w:sz w:val="18"/>
                      <w:szCs w:val="18"/>
                    </w:rPr>
                  </w:pPr>
                  <w:r>
                    <w:rPr>
                      <w:rFonts w:hint="eastAsia" w:cs="Times New Roman"/>
                      <w:sz w:val="18"/>
                      <w:szCs w:val="18"/>
                    </w:rPr>
                    <w:t>0.60</w:t>
                  </w:r>
                </w:p>
              </w:tc>
              <w:tc>
                <w:tcPr>
                  <w:tcW w:w="507" w:type="dxa"/>
                  <w:vAlign w:val="center"/>
                </w:tcPr>
                <w:p>
                  <w:pPr>
                    <w:widowControl/>
                    <w:jc w:val="center"/>
                    <w:textAlignment w:val="center"/>
                    <w:rPr>
                      <w:rFonts w:cs="Times New Roman"/>
                      <w:sz w:val="18"/>
                      <w:szCs w:val="18"/>
                    </w:rPr>
                  </w:pPr>
                  <w:r>
                    <w:rPr>
                      <w:rFonts w:hint="eastAsia" w:cs="Times New Roman"/>
                      <w:sz w:val="18"/>
                      <w:szCs w:val="18"/>
                    </w:rPr>
                    <w:t>0.45</w:t>
                  </w:r>
                </w:p>
              </w:tc>
              <w:tc>
                <w:tcPr>
                  <w:tcW w:w="507" w:type="dxa"/>
                  <w:vAlign w:val="center"/>
                </w:tcPr>
                <w:p>
                  <w:pPr>
                    <w:widowControl/>
                    <w:jc w:val="center"/>
                    <w:textAlignment w:val="center"/>
                    <w:rPr>
                      <w:rFonts w:cs="Times New Roman"/>
                      <w:sz w:val="18"/>
                      <w:szCs w:val="18"/>
                    </w:rPr>
                  </w:pPr>
                  <w:r>
                    <w:rPr>
                      <w:rFonts w:hint="eastAsia" w:cs="Times New Roman"/>
                      <w:sz w:val="18"/>
                      <w:szCs w:val="18"/>
                    </w:rPr>
                    <w:t>0.63</w:t>
                  </w:r>
                </w:p>
              </w:tc>
              <w:tc>
                <w:tcPr>
                  <w:tcW w:w="507" w:type="dxa"/>
                  <w:vAlign w:val="center"/>
                </w:tcPr>
                <w:p>
                  <w:pPr>
                    <w:widowControl/>
                    <w:jc w:val="center"/>
                    <w:textAlignment w:val="center"/>
                    <w:rPr>
                      <w:rFonts w:cs="Times New Roman"/>
                      <w:sz w:val="18"/>
                      <w:szCs w:val="18"/>
                    </w:rPr>
                  </w:pPr>
                  <w:r>
                    <w:rPr>
                      <w:rFonts w:hint="eastAsia" w:cs="Times New Roman"/>
                      <w:sz w:val="18"/>
                      <w:szCs w:val="18"/>
                    </w:rPr>
                    <w:t>0.82</w:t>
                  </w:r>
                </w:p>
              </w:tc>
              <w:tc>
                <w:tcPr>
                  <w:tcW w:w="507" w:type="dxa"/>
                  <w:vAlign w:val="center"/>
                </w:tcPr>
                <w:p>
                  <w:pPr>
                    <w:widowControl/>
                    <w:jc w:val="center"/>
                    <w:textAlignment w:val="center"/>
                    <w:rPr>
                      <w:rFonts w:cs="Times New Roman"/>
                      <w:b/>
                      <w:bCs/>
                      <w:sz w:val="18"/>
                      <w:szCs w:val="18"/>
                    </w:rPr>
                  </w:pPr>
                  <w:r>
                    <w:rPr>
                      <w:rFonts w:hint="eastAsia" w:cs="Times New Roman"/>
                      <w:b/>
                      <w:bCs/>
                      <w:sz w:val="18"/>
                      <w:szCs w:val="18"/>
                    </w:rPr>
                    <w:t>1.13</w:t>
                  </w:r>
                </w:p>
              </w:tc>
              <w:tc>
                <w:tcPr>
                  <w:tcW w:w="507" w:type="dxa"/>
                  <w:vAlign w:val="center"/>
                </w:tcPr>
                <w:p>
                  <w:pPr>
                    <w:widowControl/>
                    <w:jc w:val="center"/>
                    <w:textAlignment w:val="center"/>
                    <w:rPr>
                      <w:rFonts w:cs="Times New Roman"/>
                      <w:sz w:val="18"/>
                      <w:szCs w:val="18"/>
                    </w:rPr>
                  </w:pPr>
                  <w:r>
                    <w:rPr>
                      <w:rFonts w:hint="eastAsia" w:cs="Times New Roman"/>
                      <w:sz w:val="18"/>
                      <w:szCs w:val="18"/>
                    </w:rPr>
                    <w:t>0.74</w:t>
                  </w:r>
                </w:p>
              </w:tc>
              <w:tc>
                <w:tcPr>
                  <w:tcW w:w="507" w:type="dxa"/>
                  <w:vAlign w:val="center"/>
                </w:tcPr>
                <w:p>
                  <w:pPr>
                    <w:widowControl/>
                    <w:jc w:val="center"/>
                    <w:textAlignment w:val="center"/>
                    <w:rPr>
                      <w:rFonts w:cs="Times New Roman"/>
                      <w:sz w:val="18"/>
                      <w:szCs w:val="18"/>
                    </w:rPr>
                  </w:pPr>
                  <w:r>
                    <w:rPr>
                      <w:rFonts w:hint="eastAsia" w:cs="Times New Roman"/>
                      <w:sz w:val="18"/>
                      <w:szCs w:val="18"/>
                    </w:rPr>
                    <w:t>0.72</w:t>
                  </w:r>
                </w:p>
              </w:tc>
              <w:tc>
                <w:tcPr>
                  <w:tcW w:w="507" w:type="dxa"/>
                  <w:vAlign w:val="center"/>
                </w:tcPr>
                <w:p>
                  <w:pPr>
                    <w:widowControl/>
                    <w:jc w:val="center"/>
                    <w:textAlignment w:val="center"/>
                    <w:rPr>
                      <w:rFonts w:cs="Times New Roman"/>
                      <w:sz w:val="18"/>
                      <w:szCs w:val="18"/>
                    </w:rPr>
                  </w:pPr>
                  <w:r>
                    <w:rPr>
                      <w:rFonts w:hint="eastAsia" w:cs="Times New Roman"/>
                      <w:sz w:val="18"/>
                      <w:szCs w:val="18"/>
                    </w:rPr>
                    <w:t>0.67</w:t>
                  </w:r>
                </w:p>
              </w:tc>
              <w:tc>
                <w:tcPr>
                  <w:tcW w:w="507" w:type="dxa"/>
                  <w:vAlign w:val="center"/>
                </w:tcPr>
                <w:p>
                  <w:pPr>
                    <w:widowControl/>
                    <w:jc w:val="center"/>
                    <w:textAlignment w:val="center"/>
                    <w:rPr>
                      <w:rFonts w:cs="Times New Roman"/>
                      <w:sz w:val="18"/>
                      <w:szCs w:val="18"/>
                    </w:rPr>
                  </w:pPr>
                  <w:r>
                    <w:rPr>
                      <w:rFonts w:hint="eastAsia" w:cs="Times New Roman"/>
                      <w:sz w:val="18"/>
                      <w:szCs w:val="18"/>
                    </w:rPr>
                    <w:t>0.70</w:t>
                  </w:r>
                </w:p>
              </w:tc>
              <w:tc>
                <w:tcPr>
                  <w:tcW w:w="507" w:type="dxa"/>
                  <w:vAlign w:val="center"/>
                </w:tcPr>
                <w:p>
                  <w:pPr>
                    <w:widowControl/>
                    <w:jc w:val="center"/>
                    <w:textAlignment w:val="center"/>
                    <w:rPr>
                      <w:rFonts w:cs="Times New Roman"/>
                      <w:sz w:val="18"/>
                      <w:szCs w:val="18"/>
                    </w:rPr>
                  </w:pPr>
                  <w:r>
                    <w:rPr>
                      <w:rFonts w:hint="eastAsia" w:cs="Times New Roman"/>
                      <w:sz w:val="18"/>
                      <w:szCs w:val="18"/>
                    </w:rPr>
                    <w:t>0.81</w:t>
                  </w:r>
                </w:p>
              </w:tc>
              <w:tc>
                <w:tcPr>
                  <w:tcW w:w="514" w:type="dxa"/>
                  <w:vAlign w:val="center"/>
                </w:tcPr>
                <w:p>
                  <w:pPr>
                    <w:widowControl/>
                    <w:jc w:val="center"/>
                    <w:textAlignment w:val="center"/>
                    <w:rPr>
                      <w:rFonts w:cs="Times New Roman"/>
                      <w:sz w:val="18"/>
                      <w:szCs w:val="18"/>
                    </w:rPr>
                  </w:pPr>
                  <w:r>
                    <w:rPr>
                      <w:rFonts w:hint="eastAsia" w:cs="Times New Roman"/>
                      <w:sz w:val="18"/>
                      <w:szCs w:val="18"/>
                    </w:rPr>
                    <w:t>0.88</w:t>
                  </w:r>
                </w:p>
              </w:tc>
              <w:tc>
                <w:tcPr>
                  <w:tcW w:w="665" w:type="dxa"/>
                  <w:vAlign w:val="center"/>
                </w:tcPr>
                <w:p>
                  <w:pPr>
                    <w:widowControl/>
                    <w:jc w:val="center"/>
                    <w:textAlignment w:val="center"/>
                    <w:rPr>
                      <w:rFonts w:cs="Times New Roman"/>
                      <w:sz w:val="18"/>
                      <w:szCs w:val="18"/>
                    </w:rPr>
                  </w:pPr>
                  <w:r>
                    <w:rPr>
                      <w:rFonts w:hint="eastAsia" w:cs="Times New Roman"/>
                      <w:sz w:val="18"/>
                      <w:szCs w:val="18"/>
                    </w:rPr>
                    <w:t>0.75</w:t>
                  </w:r>
                </w:p>
              </w:tc>
              <w:tc>
                <w:tcPr>
                  <w:tcW w:w="820" w:type="dxa"/>
                  <w:vAlign w:val="center"/>
                </w:tcPr>
                <w:p>
                  <w:pPr>
                    <w:widowControl/>
                    <w:jc w:val="center"/>
                    <w:textAlignment w:val="center"/>
                    <w:rPr>
                      <w:rFonts w:cs="Times New Roman"/>
                      <w:sz w:val="18"/>
                      <w:szCs w:val="18"/>
                    </w:rPr>
                  </w:pPr>
                  <w:r>
                    <w:rPr>
                      <w:rFonts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7" w:type="dxa"/>
                  <w:vMerge w:val="continue"/>
                  <w:vAlign w:val="center"/>
                </w:tcPr>
                <w:p>
                  <w:pPr>
                    <w:widowControl/>
                    <w:jc w:val="center"/>
                    <w:textAlignment w:val="center"/>
                    <w:rPr>
                      <w:rFonts w:cs="Times New Roman"/>
                      <w:sz w:val="18"/>
                      <w:szCs w:val="18"/>
                    </w:rPr>
                  </w:pPr>
                </w:p>
              </w:tc>
              <w:tc>
                <w:tcPr>
                  <w:tcW w:w="879" w:type="dxa"/>
                  <w:vAlign w:val="center"/>
                </w:tcPr>
                <w:p>
                  <w:pPr>
                    <w:widowControl/>
                    <w:jc w:val="center"/>
                    <w:textAlignment w:val="center"/>
                    <w:rPr>
                      <w:rFonts w:cs="Times New Roman"/>
                      <w:sz w:val="18"/>
                      <w:szCs w:val="18"/>
                    </w:rPr>
                  </w:pPr>
                  <w:r>
                    <w:rPr>
                      <w:rFonts w:cs="Times New Roman"/>
                      <w:sz w:val="18"/>
                      <w:szCs w:val="18"/>
                    </w:rPr>
                    <w:t>超标倍数</w:t>
                  </w:r>
                </w:p>
              </w:tc>
              <w:tc>
                <w:tcPr>
                  <w:tcW w:w="508"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b/>
                      <w:bCs/>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b/>
                      <w:bCs/>
                      <w:kern w:val="0"/>
                      <w:sz w:val="18"/>
                      <w:szCs w:val="18"/>
                      <w:lang w:bidi="ar"/>
                    </w:rPr>
                  </w:pPr>
                  <w:r>
                    <w:rPr>
                      <w:rFonts w:hint="eastAsia" w:cs="Times New Roman"/>
                      <w:b/>
                      <w:bCs/>
                      <w:kern w:val="0"/>
                      <w:sz w:val="18"/>
                      <w:szCs w:val="18"/>
                      <w:lang w:bidi="ar"/>
                    </w:rPr>
                    <w:t>0.13</w:t>
                  </w:r>
                </w:p>
              </w:tc>
              <w:tc>
                <w:tcPr>
                  <w:tcW w:w="507" w:type="dxa"/>
                  <w:vAlign w:val="center"/>
                </w:tcPr>
                <w:p>
                  <w:pPr>
                    <w:widowControl/>
                    <w:jc w:val="center"/>
                    <w:textAlignment w:val="center"/>
                    <w:rPr>
                      <w:rFonts w:cs="Times New Roman"/>
                      <w:b/>
                      <w:bCs/>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b/>
                      <w:bCs/>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b/>
                      <w:bCs/>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b/>
                      <w:bCs/>
                      <w:kern w:val="0"/>
                      <w:sz w:val="18"/>
                      <w:szCs w:val="18"/>
                      <w:lang w:bidi="ar"/>
                    </w:rPr>
                  </w:pPr>
                  <w:r>
                    <w:rPr>
                      <w:rFonts w:cs="Times New Roman"/>
                      <w:kern w:val="0"/>
                      <w:sz w:val="18"/>
                      <w:szCs w:val="18"/>
                      <w:lang w:bidi="ar"/>
                    </w:rPr>
                    <w:t>达标</w:t>
                  </w:r>
                </w:p>
              </w:tc>
              <w:tc>
                <w:tcPr>
                  <w:tcW w:w="507" w:type="dxa"/>
                  <w:vAlign w:val="center"/>
                </w:tcPr>
                <w:p>
                  <w:pPr>
                    <w:widowControl/>
                    <w:jc w:val="center"/>
                    <w:textAlignment w:val="center"/>
                    <w:rPr>
                      <w:rFonts w:cs="Times New Roman"/>
                      <w:b/>
                      <w:bCs/>
                      <w:kern w:val="0"/>
                      <w:sz w:val="18"/>
                      <w:szCs w:val="18"/>
                      <w:lang w:bidi="ar"/>
                    </w:rPr>
                  </w:pPr>
                  <w:r>
                    <w:rPr>
                      <w:rFonts w:cs="Times New Roman"/>
                      <w:kern w:val="0"/>
                      <w:sz w:val="18"/>
                      <w:szCs w:val="18"/>
                      <w:lang w:bidi="ar"/>
                    </w:rPr>
                    <w:t>达标</w:t>
                  </w:r>
                </w:p>
              </w:tc>
              <w:tc>
                <w:tcPr>
                  <w:tcW w:w="514" w:type="dxa"/>
                  <w:vAlign w:val="center"/>
                </w:tcPr>
                <w:p>
                  <w:pPr>
                    <w:widowControl/>
                    <w:jc w:val="center"/>
                    <w:textAlignment w:val="center"/>
                    <w:rPr>
                      <w:rFonts w:cs="Times New Roman"/>
                      <w:b/>
                      <w:bCs/>
                      <w:kern w:val="0"/>
                      <w:sz w:val="18"/>
                      <w:szCs w:val="18"/>
                      <w:lang w:bidi="ar"/>
                    </w:rPr>
                  </w:pPr>
                  <w:r>
                    <w:rPr>
                      <w:rFonts w:cs="Times New Roman"/>
                      <w:kern w:val="0"/>
                      <w:sz w:val="18"/>
                      <w:szCs w:val="18"/>
                      <w:lang w:bidi="ar"/>
                    </w:rPr>
                    <w:t>达标</w:t>
                  </w:r>
                </w:p>
              </w:tc>
              <w:tc>
                <w:tcPr>
                  <w:tcW w:w="665" w:type="dxa"/>
                  <w:vAlign w:val="center"/>
                </w:tcPr>
                <w:p>
                  <w:pPr>
                    <w:widowControl/>
                    <w:jc w:val="center"/>
                    <w:textAlignment w:val="center"/>
                    <w:rPr>
                      <w:rFonts w:cs="Times New Roman"/>
                      <w:b/>
                      <w:bCs/>
                      <w:kern w:val="0"/>
                      <w:sz w:val="18"/>
                      <w:szCs w:val="18"/>
                      <w:lang w:bidi="ar"/>
                    </w:rPr>
                  </w:pPr>
                  <w:r>
                    <w:rPr>
                      <w:rFonts w:cs="Times New Roman"/>
                      <w:kern w:val="0"/>
                      <w:sz w:val="18"/>
                      <w:szCs w:val="18"/>
                      <w:lang w:bidi="ar"/>
                    </w:rPr>
                    <w:t>达标</w:t>
                  </w:r>
                </w:p>
              </w:tc>
              <w:tc>
                <w:tcPr>
                  <w:tcW w:w="820" w:type="dxa"/>
                  <w:vAlign w:val="center"/>
                </w:tcPr>
                <w:p>
                  <w:pPr>
                    <w:widowControl/>
                    <w:jc w:val="center"/>
                    <w:textAlignment w:val="center"/>
                    <w:rPr>
                      <w:rFonts w:cs="Times New Roman"/>
                      <w:sz w:val="18"/>
                      <w:szCs w:val="18"/>
                    </w:rPr>
                  </w:pPr>
                  <w:r>
                    <w:rPr>
                      <w:rFonts w:cs="Times New Roman"/>
                      <w:sz w:val="18"/>
                      <w:szCs w:val="18"/>
                    </w:rPr>
                    <w:t>/</w:t>
                  </w:r>
                </w:p>
              </w:tc>
            </w:tr>
          </w:tbl>
          <w:p>
            <w:pPr>
              <w:spacing w:line="360" w:lineRule="auto"/>
              <w:ind w:firstLine="420" w:firstLineChars="200"/>
              <w:rPr>
                <w:rFonts w:cs="Times New Roman"/>
                <w:szCs w:val="21"/>
              </w:rPr>
            </w:pPr>
          </w:p>
          <w:p>
            <w:pPr>
              <w:spacing w:line="360" w:lineRule="auto"/>
              <w:ind w:firstLine="420" w:firstLineChars="200"/>
              <w:rPr>
                <w:rFonts w:cs="Times New Roman"/>
                <w:szCs w:val="21"/>
              </w:rPr>
            </w:pPr>
            <w:r>
              <w:rPr>
                <w:rFonts w:hint="eastAsia" w:cs="Times New Roman"/>
                <w:szCs w:val="21"/>
              </w:rPr>
              <w:t>由上表可知，2022年上塘河.周王庙水泥厂监测断面的月监测数据中的高锰酸盐指数均可满足相应的目标水质要求，但氨氮、总磷在均在部分月份超标，主要超标因子为氨氮。超标原因可能是上游来水水质较差；上塘河.周王庙水泥厂监测断面的年平均值均可满足相应的目标水质要求、</w:t>
            </w:r>
          </w:p>
          <w:p>
            <w:pPr>
              <w:spacing w:line="360" w:lineRule="auto"/>
              <w:ind w:firstLine="420" w:firstLineChars="200"/>
              <w:rPr>
                <w:rFonts w:cs="Times New Roman"/>
                <w:szCs w:val="21"/>
              </w:rPr>
            </w:pPr>
            <w:r>
              <w:rPr>
                <w:rFonts w:hint="eastAsia" w:cs="Times New Roman"/>
                <w:szCs w:val="21"/>
              </w:rPr>
              <w:t>随着“五水共治”工作的持续推进，预计区域水环境质量能够得到逐步改善，并最终满足水环境功能区的要求。</w:t>
            </w:r>
          </w:p>
          <w:p>
            <w:pPr>
              <w:pStyle w:val="32"/>
              <w:keepLines/>
              <w:numPr>
                <w:ilvl w:val="0"/>
                <w:numId w:val="6"/>
              </w:numPr>
              <w:spacing w:line="360" w:lineRule="auto"/>
              <w:ind w:firstLineChars="0"/>
              <w:outlineLvl w:val="1"/>
              <w:rPr>
                <w:rFonts w:eastAsia="黑体" w:cs="Times New Roman"/>
                <w:bCs/>
                <w:szCs w:val="32"/>
              </w:rPr>
            </w:pPr>
            <w:r>
              <w:rPr>
                <w:rFonts w:eastAsia="黑体" w:cs="Times New Roman"/>
                <w:bCs/>
                <w:szCs w:val="32"/>
              </w:rPr>
              <w:t>大气环境</w:t>
            </w:r>
          </w:p>
          <w:p>
            <w:pPr>
              <w:spacing w:line="360" w:lineRule="auto"/>
              <w:ind w:firstLine="420" w:firstLineChars="200"/>
              <w:rPr>
                <w:rFonts w:cs="Times New Roman"/>
                <w:szCs w:val="21"/>
              </w:rPr>
            </w:pPr>
            <w:r>
              <w:rPr>
                <w:rFonts w:hint="eastAsia" w:cs="Times New Roman"/>
                <w:szCs w:val="21"/>
              </w:rPr>
              <w:t>为确切了解项目所在地大气环境质量现状，本次评价收集了</w:t>
            </w:r>
            <w:r>
              <w:rPr>
                <w:rFonts w:cs="Times New Roman"/>
                <w:szCs w:val="21"/>
              </w:rPr>
              <w:t>2021</w:t>
            </w:r>
            <w:r>
              <w:rPr>
                <w:rFonts w:hint="eastAsia" w:cs="Times New Roman"/>
                <w:szCs w:val="21"/>
              </w:rPr>
              <w:t>年海宁市监测数据以及</w:t>
            </w:r>
            <w:r>
              <w:rPr>
                <w:rFonts w:cs="Times New Roman"/>
                <w:szCs w:val="21"/>
              </w:rPr>
              <w:t>2021</w:t>
            </w:r>
            <w:r>
              <w:rPr>
                <w:rFonts w:hint="eastAsia" w:cs="Times New Roman"/>
                <w:szCs w:val="21"/>
              </w:rPr>
              <w:t>年的《海宁市生态环境状况公报》，</w:t>
            </w:r>
            <w:r>
              <w:rPr>
                <w:rFonts w:cs="Times New Roman"/>
                <w:szCs w:val="21"/>
              </w:rPr>
              <w:t>2021</w:t>
            </w:r>
            <w:r>
              <w:rPr>
                <w:rFonts w:hint="eastAsia" w:cs="Times New Roman"/>
                <w:szCs w:val="21"/>
              </w:rPr>
              <w:t>年大气环境监测数据如下：</w:t>
            </w:r>
          </w:p>
          <w:p>
            <w:pPr>
              <w:spacing w:before="156" w:beforeLines="50"/>
              <w:jc w:val="center"/>
              <w:rPr>
                <w:b/>
              </w:rPr>
            </w:pPr>
            <w:r>
              <w:rPr>
                <w:rFonts w:hAnsi="宋体"/>
                <w:b/>
                <w:lang w:bidi="ar"/>
              </w:rPr>
              <w:t>表</w:t>
            </w:r>
            <w:r>
              <w:rPr>
                <w:b/>
                <w:lang w:bidi="ar"/>
              </w:rPr>
              <w:t xml:space="preserve">3-2  </w:t>
            </w:r>
            <w:r>
              <w:rPr>
                <w:rFonts w:hAnsi="宋体"/>
                <w:b/>
                <w:lang w:bidi="ar"/>
              </w:rPr>
              <w:t>区域空气质量现状评价表</w:t>
            </w:r>
            <w:r>
              <w:rPr>
                <w:b/>
                <w:lang w:bidi="ar"/>
              </w:rPr>
              <w:t xml:space="preserve">   </w:t>
            </w:r>
            <w:r>
              <w:rPr>
                <w:rFonts w:hAnsi="宋体"/>
                <w:lang w:bidi="ar"/>
              </w:rPr>
              <w:t>单位：</w:t>
            </w:r>
            <w:r>
              <w:rPr>
                <w:lang w:bidi="ar"/>
              </w:rPr>
              <w:t>μg/m</w:t>
            </w:r>
            <w:r>
              <w:rPr>
                <w:vertAlign w:val="superscript"/>
                <w:lang w:bidi="ar"/>
              </w:rPr>
              <w:t>3</w:t>
            </w:r>
          </w:p>
          <w:tbl>
            <w:tblPr>
              <w:tblStyle w:val="25"/>
              <w:tblW w:w="868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49"/>
              <w:gridCol w:w="1729"/>
              <w:gridCol w:w="925"/>
              <w:gridCol w:w="1313"/>
              <w:gridCol w:w="1150"/>
              <w:gridCol w:w="1445"/>
              <w:gridCol w:w="117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9"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spacing w:val="-2"/>
                      <w:sz w:val="21"/>
                      <w:szCs w:val="21"/>
                      <w:lang w:bidi="ar"/>
                    </w:rPr>
                    <w:t>污染物</w:t>
                  </w:r>
                </w:p>
              </w:tc>
              <w:tc>
                <w:tcPr>
                  <w:tcW w:w="1729"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评价指标</w:t>
                  </w:r>
                </w:p>
              </w:tc>
              <w:tc>
                <w:tcPr>
                  <w:tcW w:w="92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sz w:val="21"/>
                      <w:szCs w:val="21"/>
                    </w:rPr>
                    <w:t>单位</w:t>
                  </w:r>
                </w:p>
              </w:tc>
              <w:tc>
                <w:tcPr>
                  <w:tcW w:w="1313"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现状浓度</w:t>
                  </w:r>
                </w:p>
              </w:tc>
              <w:tc>
                <w:tcPr>
                  <w:tcW w:w="1150"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标准值</w:t>
                  </w:r>
                </w:p>
              </w:tc>
              <w:tc>
                <w:tcPr>
                  <w:tcW w:w="144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占标率（</w:t>
                  </w:r>
                  <w:r>
                    <w:rPr>
                      <w:rFonts w:ascii="Times New Roman" w:hAnsi="Times New Roman" w:cs="Times New Roman"/>
                      <w:bCs/>
                      <w:kern w:val="2"/>
                      <w:sz w:val="21"/>
                      <w:szCs w:val="21"/>
                      <w:lang w:bidi="ar"/>
                    </w:rPr>
                    <w:t>%</w:t>
                  </w:r>
                  <w:r>
                    <w:rPr>
                      <w:rFonts w:hint="eastAsia" w:ascii="Times New Roman" w:hAnsi="Times New Roman" w:cs="Times New Roman"/>
                      <w:bCs/>
                      <w:kern w:val="2"/>
                      <w:sz w:val="21"/>
                      <w:szCs w:val="21"/>
                      <w:lang w:bidi="ar"/>
                    </w:rPr>
                    <w:t>）</w:t>
                  </w:r>
                </w:p>
              </w:tc>
              <w:tc>
                <w:tcPr>
                  <w:tcW w:w="1172"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9" w:type="dxa"/>
                  <w:vAlign w:val="center"/>
                </w:tcPr>
                <w:p>
                  <w:pPr>
                    <w:pStyle w:val="21"/>
                    <w:widowControl w:val="0"/>
                    <w:spacing w:before="0" w:beforeAutospacing="0" w:after="0" w:afterAutospacing="0"/>
                    <w:jc w:val="center"/>
                    <w:rPr>
                      <w:rFonts w:ascii="Times New Roman" w:hAnsi="Times New Roman" w:cs="Times New Roman"/>
                      <w:bCs/>
                      <w:kern w:val="2"/>
                      <w:sz w:val="21"/>
                      <w:szCs w:val="21"/>
                      <w:lang w:bidi="ar"/>
                    </w:rPr>
                  </w:pPr>
                  <w:r>
                    <w:rPr>
                      <w:rFonts w:ascii="Times New Roman" w:hAnsi="Times New Roman" w:cs="Times New Roman"/>
                      <w:bCs/>
                      <w:kern w:val="2"/>
                      <w:sz w:val="21"/>
                      <w:szCs w:val="21"/>
                      <w:lang w:bidi="ar"/>
                    </w:rPr>
                    <w:t>PM</w:t>
                  </w:r>
                  <w:r>
                    <w:rPr>
                      <w:rFonts w:ascii="Times New Roman" w:hAnsi="Times New Roman" w:cs="Times New Roman"/>
                      <w:bCs/>
                      <w:kern w:val="2"/>
                      <w:sz w:val="21"/>
                      <w:szCs w:val="21"/>
                      <w:vertAlign w:val="subscript"/>
                      <w:lang w:bidi="ar"/>
                    </w:rPr>
                    <w:t>2.5</w:t>
                  </w:r>
                </w:p>
              </w:tc>
              <w:tc>
                <w:tcPr>
                  <w:tcW w:w="1729" w:type="dxa"/>
                  <w:vMerge w:val="restart"/>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年平均质量浓度</w:t>
                  </w:r>
                </w:p>
              </w:tc>
              <w:tc>
                <w:tcPr>
                  <w:tcW w:w="92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μg/m</w:t>
                  </w:r>
                  <w:r>
                    <w:rPr>
                      <w:rFonts w:ascii="Times New Roman" w:hAnsi="Times New Roman" w:cs="Times New Roman"/>
                      <w:bCs/>
                      <w:sz w:val="21"/>
                      <w:szCs w:val="21"/>
                      <w:vertAlign w:val="superscript"/>
                    </w:rPr>
                    <w:t>3</w:t>
                  </w:r>
                </w:p>
              </w:tc>
              <w:tc>
                <w:tcPr>
                  <w:tcW w:w="1313"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29</w:t>
                  </w:r>
                </w:p>
              </w:tc>
              <w:tc>
                <w:tcPr>
                  <w:tcW w:w="1150"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35</w:t>
                  </w:r>
                </w:p>
              </w:tc>
              <w:tc>
                <w:tcPr>
                  <w:tcW w:w="1445" w:type="dxa"/>
                  <w:vAlign w:val="center"/>
                </w:tcPr>
                <w:p>
                  <w:pPr>
                    <w:pStyle w:val="21"/>
                    <w:widowControl w:val="0"/>
                    <w:spacing w:before="0" w:beforeAutospacing="0" w:after="0" w:afterAutospacing="0"/>
                    <w:jc w:val="center"/>
                    <w:rPr>
                      <w:rFonts w:ascii="Times New Roman" w:hAnsi="Times New Roman" w:cs="Times New Roman"/>
                      <w:bCs/>
                      <w:kern w:val="2"/>
                      <w:sz w:val="21"/>
                      <w:szCs w:val="21"/>
                    </w:rPr>
                  </w:pPr>
                  <w:r>
                    <w:rPr>
                      <w:rFonts w:ascii="Times New Roman" w:hAnsi="Times New Roman" w:cs="Times New Roman"/>
                      <w:bCs/>
                      <w:kern w:val="2"/>
                      <w:sz w:val="21"/>
                      <w:szCs w:val="21"/>
                    </w:rPr>
                    <w:t>82.9</w:t>
                  </w:r>
                </w:p>
              </w:tc>
              <w:tc>
                <w:tcPr>
                  <w:tcW w:w="1172"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9" w:type="dxa"/>
                  <w:vAlign w:val="center"/>
                </w:tcPr>
                <w:p>
                  <w:pPr>
                    <w:pStyle w:val="21"/>
                    <w:widowControl w:val="0"/>
                    <w:spacing w:before="0" w:beforeAutospacing="0" w:after="0" w:afterAutospacing="0"/>
                    <w:jc w:val="center"/>
                    <w:rPr>
                      <w:rFonts w:ascii="Times New Roman" w:hAnsi="Times New Roman" w:cs="Times New Roman"/>
                      <w:bCs/>
                      <w:kern w:val="2"/>
                      <w:sz w:val="21"/>
                      <w:szCs w:val="21"/>
                      <w:lang w:bidi="ar"/>
                    </w:rPr>
                  </w:pPr>
                  <w:r>
                    <w:rPr>
                      <w:rFonts w:ascii="Times New Roman" w:hAnsi="Times New Roman" w:cs="Times New Roman"/>
                      <w:bCs/>
                      <w:kern w:val="2"/>
                      <w:sz w:val="21"/>
                      <w:szCs w:val="21"/>
                      <w:lang w:bidi="ar"/>
                    </w:rPr>
                    <w:t>PM</w:t>
                  </w:r>
                  <w:r>
                    <w:rPr>
                      <w:rFonts w:ascii="Times New Roman" w:hAnsi="Times New Roman" w:cs="Times New Roman"/>
                      <w:bCs/>
                      <w:kern w:val="2"/>
                      <w:sz w:val="21"/>
                      <w:szCs w:val="21"/>
                      <w:vertAlign w:val="subscript"/>
                      <w:lang w:bidi="ar"/>
                    </w:rPr>
                    <w:t>10</w:t>
                  </w:r>
                </w:p>
              </w:tc>
              <w:tc>
                <w:tcPr>
                  <w:tcW w:w="1729" w:type="dxa"/>
                  <w:vMerge w:val="continue"/>
                  <w:vAlign w:val="center"/>
                </w:tcPr>
                <w:p>
                  <w:pPr>
                    <w:rPr>
                      <w:rFonts w:cs="Times New Roman"/>
                      <w:bCs/>
                      <w:szCs w:val="21"/>
                    </w:rPr>
                  </w:pPr>
                </w:p>
              </w:tc>
              <w:tc>
                <w:tcPr>
                  <w:tcW w:w="92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μg/m</w:t>
                  </w:r>
                  <w:r>
                    <w:rPr>
                      <w:rFonts w:ascii="Times New Roman" w:hAnsi="Times New Roman" w:cs="Times New Roman"/>
                      <w:bCs/>
                      <w:sz w:val="21"/>
                      <w:szCs w:val="21"/>
                      <w:vertAlign w:val="superscript"/>
                    </w:rPr>
                    <w:t>3</w:t>
                  </w:r>
                </w:p>
              </w:tc>
              <w:tc>
                <w:tcPr>
                  <w:tcW w:w="1313"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52</w:t>
                  </w:r>
                </w:p>
              </w:tc>
              <w:tc>
                <w:tcPr>
                  <w:tcW w:w="1150"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70</w:t>
                  </w:r>
                </w:p>
              </w:tc>
              <w:tc>
                <w:tcPr>
                  <w:tcW w:w="144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74.3</w:t>
                  </w:r>
                </w:p>
              </w:tc>
              <w:tc>
                <w:tcPr>
                  <w:tcW w:w="1172"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949" w:type="dxa"/>
                  <w:vAlign w:val="center"/>
                </w:tcPr>
                <w:p>
                  <w:pPr>
                    <w:pStyle w:val="21"/>
                    <w:widowControl w:val="0"/>
                    <w:spacing w:before="0" w:beforeAutospacing="0" w:after="0" w:afterAutospacing="0"/>
                    <w:jc w:val="center"/>
                    <w:rPr>
                      <w:rFonts w:ascii="Times New Roman" w:hAnsi="Times New Roman" w:cs="Times New Roman"/>
                      <w:bCs/>
                      <w:kern w:val="2"/>
                      <w:sz w:val="21"/>
                      <w:szCs w:val="21"/>
                      <w:lang w:bidi="ar"/>
                    </w:rPr>
                  </w:pPr>
                  <w:r>
                    <w:rPr>
                      <w:rFonts w:ascii="Times New Roman" w:hAnsi="Times New Roman" w:cs="Times New Roman"/>
                      <w:bCs/>
                      <w:kern w:val="2"/>
                      <w:sz w:val="21"/>
                      <w:szCs w:val="21"/>
                      <w:lang w:bidi="ar"/>
                    </w:rPr>
                    <w:t>SO</w:t>
                  </w:r>
                  <w:r>
                    <w:rPr>
                      <w:rFonts w:ascii="Times New Roman" w:hAnsi="Times New Roman" w:cs="Times New Roman"/>
                      <w:bCs/>
                      <w:kern w:val="2"/>
                      <w:sz w:val="21"/>
                      <w:szCs w:val="21"/>
                      <w:vertAlign w:val="subscript"/>
                      <w:lang w:bidi="ar"/>
                    </w:rPr>
                    <w:t>2</w:t>
                  </w:r>
                </w:p>
              </w:tc>
              <w:tc>
                <w:tcPr>
                  <w:tcW w:w="1729" w:type="dxa"/>
                  <w:vMerge w:val="continue"/>
                  <w:vAlign w:val="center"/>
                </w:tcPr>
                <w:p>
                  <w:pPr>
                    <w:rPr>
                      <w:rFonts w:cs="Times New Roman"/>
                      <w:bCs/>
                      <w:szCs w:val="21"/>
                    </w:rPr>
                  </w:pPr>
                </w:p>
              </w:tc>
              <w:tc>
                <w:tcPr>
                  <w:tcW w:w="92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μg/m</w:t>
                  </w:r>
                  <w:r>
                    <w:rPr>
                      <w:rFonts w:ascii="Times New Roman" w:hAnsi="Times New Roman" w:cs="Times New Roman"/>
                      <w:bCs/>
                      <w:sz w:val="21"/>
                      <w:szCs w:val="21"/>
                      <w:vertAlign w:val="superscript"/>
                    </w:rPr>
                    <w:t>3</w:t>
                  </w:r>
                </w:p>
              </w:tc>
              <w:tc>
                <w:tcPr>
                  <w:tcW w:w="1313"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5</w:t>
                  </w:r>
                </w:p>
              </w:tc>
              <w:tc>
                <w:tcPr>
                  <w:tcW w:w="1150"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60</w:t>
                  </w:r>
                </w:p>
              </w:tc>
              <w:tc>
                <w:tcPr>
                  <w:tcW w:w="144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8.3</w:t>
                  </w:r>
                </w:p>
              </w:tc>
              <w:tc>
                <w:tcPr>
                  <w:tcW w:w="1172"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9" w:type="dxa"/>
                  <w:vAlign w:val="center"/>
                </w:tcPr>
                <w:p>
                  <w:pPr>
                    <w:pStyle w:val="21"/>
                    <w:widowControl w:val="0"/>
                    <w:spacing w:before="0" w:beforeAutospacing="0" w:after="0" w:afterAutospacing="0"/>
                    <w:jc w:val="center"/>
                    <w:rPr>
                      <w:rFonts w:ascii="Times New Roman" w:hAnsi="Times New Roman" w:cs="Times New Roman"/>
                      <w:bCs/>
                      <w:kern w:val="2"/>
                      <w:sz w:val="21"/>
                      <w:szCs w:val="21"/>
                      <w:lang w:bidi="ar"/>
                    </w:rPr>
                  </w:pPr>
                  <w:r>
                    <w:rPr>
                      <w:rFonts w:ascii="Times New Roman" w:hAnsi="Times New Roman" w:cs="Times New Roman"/>
                      <w:bCs/>
                      <w:kern w:val="2"/>
                      <w:sz w:val="21"/>
                      <w:szCs w:val="21"/>
                      <w:lang w:bidi="ar"/>
                    </w:rPr>
                    <w:t>NO</w:t>
                  </w:r>
                  <w:r>
                    <w:rPr>
                      <w:rFonts w:ascii="Times New Roman" w:hAnsi="Times New Roman" w:cs="Times New Roman"/>
                      <w:bCs/>
                      <w:kern w:val="2"/>
                      <w:sz w:val="21"/>
                      <w:szCs w:val="21"/>
                      <w:vertAlign w:val="subscript"/>
                      <w:lang w:bidi="ar"/>
                    </w:rPr>
                    <w:t>2</w:t>
                  </w:r>
                </w:p>
              </w:tc>
              <w:tc>
                <w:tcPr>
                  <w:tcW w:w="1729" w:type="dxa"/>
                  <w:vMerge w:val="continue"/>
                  <w:vAlign w:val="center"/>
                </w:tcPr>
                <w:p>
                  <w:pPr>
                    <w:rPr>
                      <w:rFonts w:cs="Times New Roman"/>
                      <w:bCs/>
                      <w:szCs w:val="21"/>
                    </w:rPr>
                  </w:pPr>
                </w:p>
              </w:tc>
              <w:tc>
                <w:tcPr>
                  <w:tcW w:w="92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μg/m</w:t>
                  </w:r>
                  <w:r>
                    <w:rPr>
                      <w:rFonts w:ascii="Times New Roman" w:hAnsi="Times New Roman" w:cs="Times New Roman"/>
                      <w:bCs/>
                      <w:sz w:val="21"/>
                      <w:szCs w:val="21"/>
                      <w:vertAlign w:val="superscript"/>
                    </w:rPr>
                    <w:t>3</w:t>
                  </w:r>
                </w:p>
              </w:tc>
              <w:tc>
                <w:tcPr>
                  <w:tcW w:w="1313"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26</w:t>
                  </w:r>
                </w:p>
              </w:tc>
              <w:tc>
                <w:tcPr>
                  <w:tcW w:w="1150"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40</w:t>
                  </w:r>
                </w:p>
              </w:tc>
              <w:tc>
                <w:tcPr>
                  <w:tcW w:w="144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65.0</w:t>
                  </w:r>
                </w:p>
              </w:tc>
              <w:tc>
                <w:tcPr>
                  <w:tcW w:w="1172"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9" w:type="dxa"/>
                  <w:vAlign w:val="center"/>
                </w:tcPr>
                <w:p>
                  <w:pPr>
                    <w:pStyle w:val="21"/>
                    <w:widowControl w:val="0"/>
                    <w:spacing w:before="0" w:beforeAutospacing="0" w:after="0" w:afterAutospacing="0"/>
                    <w:jc w:val="center"/>
                    <w:rPr>
                      <w:rFonts w:ascii="Times New Roman" w:hAnsi="Times New Roman" w:cs="Times New Roman"/>
                      <w:bCs/>
                      <w:kern w:val="2"/>
                      <w:sz w:val="21"/>
                      <w:szCs w:val="21"/>
                      <w:lang w:bidi="ar"/>
                    </w:rPr>
                  </w:pPr>
                  <w:r>
                    <w:rPr>
                      <w:rFonts w:ascii="Times New Roman" w:hAnsi="Times New Roman" w:cs="Times New Roman"/>
                      <w:bCs/>
                      <w:kern w:val="2"/>
                      <w:sz w:val="21"/>
                      <w:szCs w:val="21"/>
                      <w:lang w:bidi="ar"/>
                    </w:rPr>
                    <w:t>O</w:t>
                  </w:r>
                  <w:r>
                    <w:rPr>
                      <w:rFonts w:ascii="Times New Roman" w:hAnsi="Times New Roman" w:cs="Times New Roman"/>
                      <w:bCs/>
                      <w:kern w:val="2"/>
                      <w:sz w:val="21"/>
                      <w:szCs w:val="21"/>
                      <w:vertAlign w:val="subscript"/>
                      <w:lang w:bidi="ar"/>
                    </w:rPr>
                    <w:t>3</w:t>
                  </w:r>
                </w:p>
              </w:tc>
              <w:tc>
                <w:tcPr>
                  <w:tcW w:w="1729"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sz w:val="21"/>
                      <w:szCs w:val="21"/>
                      <w:lang w:bidi="ar"/>
                    </w:rPr>
                    <w:t>日最大</w:t>
                  </w:r>
                  <w:r>
                    <w:rPr>
                      <w:rFonts w:ascii="Times New Roman" w:hAnsi="Times New Roman" w:cs="Times New Roman"/>
                      <w:bCs/>
                      <w:sz w:val="21"/>
                      <w:szCs w:val="21"/>
                      <w:lang w:bidi="ar"/>
                    </w:rPr>
                    <w:t>8h</w:t>
                  </w:r>
                  <w:r>
                    <w:rPr>
                      <w:rFonts w:hint="eastAsia" w:ascii="Times New Roman" w:hAnsi="Times New Roman" w:cs="Times New Roman"/>
                      <w:bCs/>
                      <w:sz w:val="21"/>
                      <w:szCs w:val="21"/>
                      <w:lang w:bidi="ar"/>
                    </w:rPr>
                    <w:t>滑动平均浓度</w:t>
                  </w:r>
                </w:p>
              </w:tc>
              <w:tc>
                <w:tcPr>
                  <w:tcW w:w="92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μg/m</w:t>
                  </w:r>
                  <w:r>
                    <w:rPr>
                      <w:rFonts w:ascii="Times New Roman" w:hAnsi="Times New Roman" w:cs="Times New Roman"/>
                      <w:bCs/>
                      <w:sz w:val="21"/>
                      <w:szCs w:val="21"/>
                      <w:vertAlign w:val="superscript"/>
                    </w:rPr>
                    <w:t>3</w:t>
                  </w:r>
                </w:p>
              </w:tc>
              <w:tc>
                <w:tcPr>
                  <w:tcW w:w="1313"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99</w:t>
                  </w:r>
                </w:p>
              </w:tc>
              <w:tc>
                <w:tcPr>
                  <w:tcW w:w="1150"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160</w:t>
                  </w:r>
                </w:p>
              </w:tc>
              <w:tc>
                <w:tcPr>
                  <w:tcW w:w="144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rPr>
                    <w:t>61.9</w:t>
                  </w:r>
                </w:p>
              </w:tc>
              <w:tc>
                <w:tcPr>
                  <w:tcW w:w="1172"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9" w:type="dxa"/>
                  <w:vAlign w:val="center"/>
                </w:tcPr>
                <w:p>
                  <w:pPr>
                    <w:pStyle w:val="21"/>
                    <w:widowControl w:val="0"/>
                    <w:spacing w:before="0" w:beforeAutospacing="0" w:after="0" w:afterAutospacing="0"/>
                    <w:jc w:val="center"/>
                    <w:rPr>
                      <w:rFonts w:ascii="Times New Roman" w:hAnsi="Times New Roman" w:cs="Times New Roman"/>
                      <w:bCs/>
                      <w:kern w:val="2"/>
                      <w:sz w:val="21"/>
                      <w:szCs w:val="21"/>
                      <w:lang w:bidi="ar"/>
                    </w:rPr>
                  </w:pPr>
                  <w:r>
                    <w:rPr>
                      <w:rFonts w:ascii="Times New Roman" w:hAnsi="Times New Roman" w:cs="Times New Roman"/>
                      <w:bCs/>
                      <w:kern w:val="2"/>
                      <w:sz w:val="21"/>
                      <w:szCs w:val="21"/>
                      <w:lang w:bidi="ar"/>
                    </w:rPr>
                    <w:t>CO</w:t>
                  </w:r>
                </w:p>
              </w:tc>
              <w:tc>
                <w:tcPr>
                  <w:tcW w:w="1729"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hint="eastAsia" w:ascii="Times New Roman" w:hAnsi="Times New Roman" w:cs="Times New Roman"/>
                      <w:bCs/>
                      <w:kern w:val="2"/>
                      <w:sz w:val="21"/>
                      <w:szCs w:val="21"/>
                      <w:lang w:bidi="ar"/>
                    </w:rPr>
                    <w:t>年平均质量浓度</w:t>
                  </w:r>
                </w:p>
              </w:tc>
              <w:tc>
                <w:tcPr>
                  <w:tcW w:w="92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lang w:bidi="ar"/>
                    </w:rPr>
                    <w:t>mg/m</w:t>
                  </w:r>
                  <w:r>
                    <w:rPr>
                      <w:rFonts w:ascii="Times New Roman" w:hAnsi="Times New Roman" w:cs="Times New Roman"/>
                      <w:bCs/>
                      <w:sz w:val="21"/>
                      <w:szCs w:val="21"/>
                      <w:vertAlign w:val="superscript"/>
                      <w:lang w:bidi="ar"/>
                    </w:rPr>
                    <w:t>3</w:t>
                  </w:r>
                </w:p>
              </w:tc>
              <w:tc>
                <w:tcPr>
                  <w:tcW w:w="1313" w:type="dxa"/>
                  <w:vAlign w:val="center"/>
                </w:tcPr>
                <w:p>
                  <w:pPr>
                    <w:pStyle w:val="21"/>
                    <w:widowControl w:val="0"/>
                    <w:spacing w:before="0" w:beforeAutospacing="0" w:after="0" w:afterAutospacing="0"/>
                    <w:jc w:val="center"/>
                    <w:rPr>
                      <w:rFonts w:ascii="Times New Roman" w:hAnsi="Times New Roman" w:cs="Times New Roman"/>
                      <w:bCs/>
                      <w:sz w:val="21"/>
                      <w:szCs w:val="21"/>
                      <w:lang w:bidi="ar"/>
                    </w:rPr>
                  </w:pPr>
                  <w:r>
                    <w:rPr>
                      <w:rFonts w:ascii="Times New Roman" w:hAnsi="Times New Roman" w:cs="Times New Roman"/>
                      <w:bCs/>
                      <w:sz w:val="21"/>
                      <w:szCs w:val="21"/>
                      <w:lang w:bidi="ar"/>
                    </w:rPr>
                    <w:t>0.6</w:t>
                  </w:r>
                </w:p>
              </w:tc>
              <w:tc>
                <w:tcPr>
                  <w:tcW w:w="1150"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lang w:bidi="ar"/>
                    </w:rPr>
                    <w:t>/</w:t>
                  </w:r>
                </w:p>
              </w:tc>
              <w:tc>
                <w:tcPr>
                  <w:tcW w:w="1445"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lang w:bidi="ar"/>
                    </w:rPr>
                    <w:t>/</w:t>
                  </w:r>
                </w:p>
              </w:tc>
              <w:tc>
                <w:tcPr>
                  <w:tcW w:w="1172" w:type="dxa"/>
                  <w:vAlign w:val="center"/>
                </w:tcPr>
                <w:p>
                  <w:pPr>
                    <w:pStyle w:val="21"/>
                    <w:widowControl w:val="0"/>
                    <w:spacing w:before="0" w:beforeAutospacing="0" w:after="0" w:afterAutospacing="0"/>
                    <w:jc w:val="center"/>
                    <w:rPr>
                      <w:rFonts w:ascii="Times New Roman" w:hAnsi="Times New Roman" w:cs="Times New Roman"/>
                      <w:bCs/>
                      <w:sz w:val="21"/>
                      <w:szCs w:val="21"/>
                    </w:rPr>
                  </w:pPr>
                  <w:r>
                    <w:rPr>
                      <w:rFonts w:ascii="Times New Roman" w:hAnsi="Times New Roman" w:cs="Times New Roman"/>
                      <w:bCs/>
                      <w:sz w:val="21"/>
                      <w:szCs w:val="21"/>
                      <w:lang w:bidi="ar"/>
                    </w:rPr>
                    <w:t>/</w:t>
                  </w:r>
                </w:p>
              </w:tc>
            </w:tr>
          </w:tbl>
          <w:p>
            <w:pPr>
              <w:spacing w:line="360" w:lineRule="auto"/>
              <w:ind w:firstLine="420" w:firstLineChars="200"/>
              <w:rPr>
                <w:rFonts w:cs="Times New Roman"/>
                <w:szCs w:val="21"/>
              </w:rPr>
            </w:pPr>
            <w:r>
              <w:rPr>
                <w:rFonts w:hint="eastAsia"/>
                <w:szCs w:val="21"/>
              </w:rPr>
              <w:t>同时根据</w:t>
            </w:r>
            <w:r>
              <w:rPr>
                <w:szCs w:val="21"/>
              </w:rPr>
              <w:t>2021</w:t>
            </w:r>
            <w:r>
              <w:rPr>
                <w:rFonts w:hint="eastAsia"/>
                <w:szCs w:val="21"/>
              </w:rPr>
              <w:t>年的《海宁市生态环境状况公报》可知：海宁市空气质量六项指标连续两年达到国家二级标准，因此，海宁市</w:t>
            </w:r>
            <w:r>
              <w:rPr>
                <w:szCs w:val="21"/>
              </w:rPr>
              <w:t>2021</w:t>
            </w:r>
            <w:r>
              <w:rPr>
                <w:rFonts w:hint="eastAsia"/>
                <w:szCs w:val="21"/>
              </w:rPr>
              <w:t>年环境空气质量符合《环境空气质量标准》（</w:t>
            </w:r>
            <w:r>
              <w:rPr>
                <w:szCs w:val="21"/>
              </w:rPr>
              <w:t>GB3095-2012</w:t>
            </w:r>
            <w:r>
              <w:rPr>
                <w:rFonts w:hint="eastAsia"/>
                <w:szCs w:val="21"/>
              </w:rPr>
              <w:t>）二级标准及修改单中的要求，属于达标区。</w:t>
            </w:r>
          </w:p>
          <w:p>
            <w:pPr>
              <w:pStyle w:val="10"/>
              <w:spacing w:line="360" w:lineRule="auto"/>
              <w:jc w:val="both"/>
            </w:pPr>
            <w:r>
              <w:rPr>
                <w:rFonts w:hint="eastAsia"/>
              </w:rPr>
              <w:t>另外，根据嘉兴市生态环境局海宁分局提供的资料，海宁市2022年度环境空气质量为不达标区，本项目相关废气经收集处理后可实现达标排放，故不会对当地环境空气质量产生明显不利影响。</w:t>
            </w:r>
          </w:p>
          <w:p>
            <w:pPr>
              <w:spacing w:line="360" w:lineRule="auto"/>
              <w:ind w:firstLine="420" w:firstLineChars="200"/>
              <w:rPr>
                <w:szCs w:val="21"/>
              </w:rPr>
            </w:pPr>
            <w:r>
              <w:rPr>
                <w:rFonts w:hint="eastAsia"/>
                <w:szCs w:val="21"/>
              </w:rPr>
              <w:t>根据《嘉兴市人民政府办公室关于印发嘉兴市大气环境质量限期达标规划的通知》（嘉政办发〔</w:t>
            </w:r>
            <w:r>
              <w:rPr>
                <w:szCs w:val="21"/>
              </w:rPr>
              <w:t>2019</w:t>
            </w:r>
            <w:r>
              <w:rPr>
                <w:rFonts w:hint="eastAsia"/>
                <w:szCs w:val="21"/>
              </w:rPr>
              <w:t>〕</w:t>
            </w:r>
            <w:r>
              <w:rPr>
                <w:szCs w:val="21"/>
              </w:rPr>
              <w:t>29</w:t>
            </w:r>
            <w:r>
              <w:rPr>
                <w:rFonts w:hint="eastAsia"/>
                <w:szCs w:val="21"/>
              </w:rPr>
              <w:t>号），到</w:t>
            </w:r>
            <w:r>
              <w:rPr>
                <w:szCs w:val="21"/>
              </w:rPr>
              <w:t>2020</w:t>
            </w:r>
            <w:r>
              <w:rPr>
                <w:rFonts w:hint="eastAsia"/>
                <w:szCs w:val="21"/>
              </w:rPr>
              <w:t>年，</w:t>
            </w:r>
            <w:r>
              <w:rPr>
                <w:szCs w:val="21"/>
              </w:rPr>
              <w:t>PM</w:t>
            </w:r>
            <w:r>
              <w:rPr>
                <w:szCs w:val="21"/>
                <w:vertAlign w:val="subscript"/>
              </w:rPr>
              <w:t>2.5</w:t>
            </w:r>
            <w:r>
              <w:rPr>
                <w:rFonts w:hint="eastAsia"/>
                <w:szCs w:val="21"/>
              </w:rPr>
              <w:t>年均浓度达到</w:t>
            </w:r>
            <w:r>
              <w:rPr>
                <w:szCs w:val="21"/>
              </w:rPr>
              <w:t>37µg/m</w:t>
            </w:r>
            <w:r>
              <w:rPr>
                <w:szCs w:val="21"/>
                <w:vertAlign w:val="superscript"/>
              </w:rPr>
              <w:t>3</w:t>
            </w:r>
            <w:r>
              <w:rPr>
                <w:rFonts w:hint="eastAsia"/>
                <w:szCs w:val="21"/>
              </w:rPr>
              <w:t>及以下，</w:t>
            </w:r>
            <w:r>
              <w:rPr>
                <w:szCs w:val="21"/>
              </w:rPr>
              <w:t>O</w:t>
            </w:r>
            <w:r>
              <w:rPr>
                <w:szCs w:val="21"/>
                <w:vertAlign w:val="subscript"/>
              </w:rPr>
              <w:t>3</w:t>
            </w:r>
            <w:r>
              <w:rPr>
                <w:rFonts w:hint="eastAsia"/>
                <w:szCs w:val="21"/>
              </w:rPr>
              <w:t>污染恶化趋势基本得到遏制，其他污染物稳定达标。到</w:t>
            </w:r>
            <w:r>
              <w:rPr>
                <w:szCs w:val="21"/>
              </w:rPr>
              <w:t>2022</w:t>
            </w:r>
            <w:r>
              <w:rPr>
                <w:rFonts w:hint="eastAsia"/>
                <w:szCs w:val="21"/>
              </w:rPr>
              <w:t>年，环境空气质量持续改善，</w:t>
            </w:r>
            <w:r>
              <w:rPr>
                <w:szCs w:val="21"/>
              </w:rPr>
              <w:t>PM</w:t>
            </w:r>
            <w:r>
              <w:rPr>
                <w:szCs w:val="21"/>
                <w:vertAlign w:val="subscript"/>
              </w:rPr>
              <w:t>2.5</w:t>
            </w:r>
            <w:r>
              <w:rPr>
                <w:rFonts w:hint="eastAsia"/>
                <w:szCs w:val="21"/>
              </w:rPr>
              <w:t>年均浓度达到</w:t>
            </w:r>
            <w:r>
              <w:rPr>
                <w:szCs w:val="21"/>
              </w:rPr>
              <w:t>35µg/m</w:t>
            </w:r>
            <w:r>
              <w:rPr>
                <w:szCs w:val="21"/>
                <w:vertAlign w:val="superscript"/>
              </w:rPr>
              <w:t>3</w:t>
            </w:r>
            <w:r>
              <w:rPr>
                <w:rFonts w:hint="eastAsia"/>
                <w:szCs w:val="21"/>
              </w:rPr>
              <w:t>及以下，</w:t>
            </w:r>
            <w:r>
              <w:rPr>
                <w:szCs w:val="21"/>
              </w:rPr>
              <w:t>O</w:t>
            </w:r>
            <w:r>
              <w:rPr>
                <w:szCs w:val="21"/>
                <w:vertAlign w:val="subscript"/>
              </w:rPr>
              <w:t>3</w:t>
            </w:r>
            <w:r>
              <w:rPr>
                <w:rFonts w:hint="eastAsia"/>
                <w:szCs w:val="21"/>
              </w:rPr>
              <w:t>浓度达到拐点，其他污染物浓度持续改善。到</w:t>
            </w:r>
            <w:r>
              <w:rPr>
                <w:szCs w:val="21"/>
              </w:rPr>
              <w:t>2030</w:t>
            </w:r>
            <w:r>
              <w:rPr>
                <w:rFonts w:hint="eastAsia"/>
                <w:szCs w:val="21"/>
              </w:rPr>
              <w:t>年，</w:t>
            </w:r>
            <w:r>
              <w:rPr>
                <w:szCs w:val="21"/>
              </w:rPr>
              <w:t>PM</w:t>
            </w:r>
            <w:r>
              <w:rPr>
                <w:szCs w:val="21"/>
                <w:vertAlign w:val="subscript"/>
              </w:rPr>
              <w:t>2.5</w:t>
            </w:r>
            <w:r>
              <w:rPr>
                <w:rFonts w:hint="eastAsia"/>
                <w:szCs w:val="21"/>
              </w:rPr>
              <w:t>年均浓度达到</w:t>
            </w:r>
            <w:r>
              <w:rPr>
                <w:szCs w:val="21"/>
              </w:rPr>
              <w:t>30µg/m</w:t>
            </w:r>
            <w:r>
              <w:rPr>
                <w:szCs w:val="21"/>
                <w:vertAlign w:val="superscript"/>
              </w:rPr>
              <w:t>3</w:t>
            </w:r>
            <w:r>
              <w:rPr>
                <w:rFonts w:hint="eastAsia"/>
                <w:szCs w:val="21"/>
              </w:rPr>
              <w:t>左右，</w:t>
            </w:r>
            <w:r>
              <w:rPr>
                <w:szCs w:val="21"/>
              </w:rPr>
              <w:t>O</w:t>
            </w:r>
            <w:r>
              <w:rPr>
                <w:szCs w:val="21"/>
                <w:vertAlign w:val="subscript"/>
              </w:rPr>
              <w:t>3</w:t>
            </w:r>
            <w:r>
              <w:rPr>
                <w:rFonts w:hint="eastAsia"/>
                <w:szCs w:val="21"/>
              </w:rPr>
              <w:t>浓度达到国家环境空气质量二级标准，其他污染物浓度持续改善，环境空气质量实现根本好转。</w:t>
            </w:r>
          </w:p>
          <w:p>
            <w:pPr>
              <w:spacing w:line="360" w:lineRule="auto"/>
              <w:ind w:firstLine="420" w:firstLineChars="200"/>
              <w:jc w:val="both"/>
              <w:rPr>
                <w:szCs w:val="21"/>
              </w:rPr>
            </w:pPr>
            <w:r>
              <w:rPr>
                <w:rFonts w:hint="eastAsia"/>
                <w:szCs w:val="21"/>
              </w:rPr>
              <w:t>重点任务和措施：（一）调整产业布局和结构，强化源头管控；（二）构建清洁低碳、安全高效的能源体系；（三）深化区域烟气废气治理，深挖减排潜力；（四）实施</w:t>
            </w:r>
            <w:r>
              <w:rPr>
                <w:szCs w:val="21"/>
              </w:rPr>
              <w:t>VOCs</w:t>
            </w:r>
            <w:r>
              <w:rPr>
                <w:rFonts w:hint="eastAsia"/>
                <w:szCs w:val="21"/>
              </w:rPr>
              <w:t>综合治理专项行动；（五）强化城市面源污染治理，推进农业大气污染防控；（六）深化机动车船污染防治，推进运输结</w:t>
            </w:r>
          </w:p>
          <w:p>
            <w:pPr>
              <w:spacing w:line="360" w:lineRule="auto"/>
              <w:jc w:val="both"/>
              <w:rPr>
                <w:rFonts w:cs="Times New Roman"/>
                <w:szCs w:val="21"/>
              </w:rPr>
            </w:pPr>
            <w:r>
              <w:rPr>
                <w:rFonts w:hint="eastAsia"/>
                <w:szCs w:val="21"/>
              </w:rPr>
              <w:t>构调整；（七）推进管理创新，树立城市标杆；保障措施：（一）加强组织领导；（二）实施考核评估；（三）加大投入力度；（四）加强公众参与。</w:t>
            </w:r>
          </w:p>
          <w:p>
            <w:pPr>
              <w:pStyle w:val="32"/>
              <w:keepLines/>
              <w:numPr>
                <w:ilvl w:val="0"/>
                <w:numId w:val="6"/>
              </w:numPr>
              <w:spacing w:line="360" w:lineRule="auto"/>
              <w:ind w:firstLineChars="0"/>
              <w:outlineLvl w:val="1"/>
              <w:rPr>
                <w:rFonts w:eastAsia="黑体" w:cs="Times New Roman"/>
                <w:bCs/>
                <w:szCs w:val="32"/>
              </w:rPr>
            </w:pPr>
            <w:r>
              <w:rPr>
                <w:rFonts w:eastAsia="黑体" w:cs="Times New Roman"/>
                <w:bCs/>
                <w:szCs w:val="32"/>
              </w:rPr>
              <w:t>声环境</w:t>
            </w:r>
          </w:p>
          <w:p>
            <w:pPr>
              <w:spacing w:line="360" w:lineRule="auto"/>
              <w:ind w:firstLine="420" w:firstLineChars="200"/>
              <w:rPr>
                <w:rFonts w:cs="Times New Roman"/>
                <w:szCs w:val="21"/>
              </w:rPr>
            </w:pPr>
            <w:r>
              <w:rPr>
                <w:rFonts w:cs="Times New Roman"/>
                <w:szCs w:val="21"/>
              </w:rPr>
              <w:t>为了解本</w:t>
            </w:r>
            <w:r>
              <w:rPr>
                <w:rFonts w:hint="eastAsia" w:cs="Times New Roman"/>
                <w:szCs w:val="21"/>
              </w:rPr>
              <w:t>项目</w:t>
            </w:r>
            <w:r>
              <w:rPr>
                <w:rFonts w:cs="Times New Roman"/>
                <w:szCs w:val="21"/>
              </w:rPr>
              <w:t>评价范围内的声环境状况，我</w:t>
            </w:r>
            <w:r>
              <w:rPr>
                <w:rFonts w:hint="eastAsia" w:cs="Times New Roman"/>
                <w:szCs w:val="21"/>
              </w:rPr>
              <w:t>司</w:t>
            </w:r>
            <w:r>
              <w:rPr>
                <w:rFonts w:cs="Times New Roman"/>
                <w:szCs w:val="21"/>
              </w:rPr>
              <w:t>委托</w:t>
            </w:r>
            <w:r>
              <w:rPr>
                <w:rFonts w:hint="eastAsia" w:cs="Times New Roman"/>
                <w:szCs w:val="21"/>
              </w:rPr>
              <w:t>浙江亿达检测技术</w:t>
            </w:r>
            <w:r>
              <w:rPr>
                <w:rFonts w:cs="Times New Roman"/>
                <w:szCs w:val="21"/>
              </w:rPr>
              <w:t>有限公司于2023年</w:t>
            </w:r>
            <w:r>
              <w:rPr>
                <w:rFonts w:hint="eastAsia" w:cs="Times New Roman"/>
                <w:szCs w:val="21"/>
              </w:rPr>
              <w:t>6</w:t>
            </w:r>
            <w:r>
              <w:rPr>
                <w:rFonts w:cs="Times New Roman"/>
                <w:szCs w:val="21"/>
              </w:rPr>
              <w:t>月28日对本</w:t>
            </w:r>
            <w:r>
              <w:rPr>
                <w:rFonts w:hint="eastAsia" w:cs="Times New Roman"/>
                <w:szCs w:val="21"/>
              </w:rPr>
              <w:t>项目</w:t>
            </w:r>
            <w:r>
              <w:rPr>
                <w:rFonts w:cs="Times New Roman"/>
                <w:szCs w:val="21"/>
              </w:rPr>
              <w:t>声环境质量现状进行了监测。</w:t>
            </w:r>
          </w:p>
          <w:p>
            <w:pPr>
              <w:pStyle w:val="5"/>
              <w:numPr>
                <w:ilvl w:val="1"/>
                <w:numId w:val="0"/>
              </w:numPr>
              <w:rPr>
                <w:color w:val="auto"/>
              </w:rPr>
            </w:pPr>
            <w:bookmarkStart w:id="11" w:name="_Toc450143406"/>
            <w:bookmarkStart w:id="12" w:name="_Toc471736831"/>
            <w:bookmarkStart w:id="13" w:name="_Toc319364900"/>
            <w:bookmarkStart w:id="14" w:name="_Toc474748242"/>
            <w:bookmarkStart w:id="15" w:name="_Toc471983554"/>
            <w:r>
              <w:rPr>
                <w:color w:val="auto"/>
              </w:rPr>
              <w:t>5.1 监测条件</w:t>
            </w:r>
            <w:bookmarkEnd w:id="11"/>
            <w:bookmarkEnd w:id="12"/>
            <w:bookmarkEnd w:id="13"/>
            <w:bookmarkEnd w:id="14"/>
            <w:bookmarkEnd w:id="15"/>
          </w:p>
          <w:p>
            <w:pPr>
              <w:spacing w:line="360" w:lineRule="auto"/>
              <w:ind w:firstLine="420" w:firstLineChars="200"/>
              <w:rPr>
                <w:rFonts w:cs="Times New Roman"/>
                <w:szCs w:val="21"/>
              </w:rPr>
            </w:pPr>
            <w:r>
              <w:rPr>
                <w:rFonts w:cs="Times New Roman"/>
                <w:szCs w:val="21"/>
              </w:rPr>
              <w:t>监测条件见表3.5-1。</w:t>
            </w:r>
          </w:p>
          <w:p>
            <w:pPr>
              <w:jc w:val="center"/>
              <w:rPr>
                <w:rFonts w:eastAsia="黑体" w:cs="Times New Roman"/>
                <w:sz w:val="18"/>
                <w:szCs w:val="18"/>
              </w:rPr>
            </w:pPr>
            <w:r>
              <w:rPr>
                <w:rFonts w:eastAsia="黑体" w:cs="Times New Roman"/>
                <w:sz w:val="18"/>
                <w:szCs w:val="18"/>
              </w:rPr>
              <w:t>表3.5-1   监测条件一览表</w:t>
            </w:r>
          </w:p>
          <w:tbl>
            <w:tblPr>
              <w:tblStyle w:val="49"/>
              <w:tblW w:w="5000" w:type="pct"/>
              <w:tblInd w:w="5" w:type="dxa"/>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1957"/>
              <w:gridCol w:w="1545"/>
              <w:gridCol w:w="1750"/>
              <w:gridCol w:w="1751"/>
              <w:gridCol w:w="1753"/>
            </w:tblGrid>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1117"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监测时间</w:t>
                  </w:r>
                </w:p>
              </w:tc>
              <w:tc>
                <w:tcPr>
                  <w:tcW w:w="882"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天气</w:t>
                  </w:r>
                </w:p>
              </w:tc>
              <w:tc>
                <w:tcPr>
                  <w:tcW w:w="999"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环境温度（℃）</w:t>
                  </w:r>
                </w:p>
              </w:tc>
              <w:tc>
                <w:tcPr>
                  <w:tcW w:w="999"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环境相对湿度（%RH）</w:t>
                  </w:r>
                </w:p>
              </w:tc>
              <w:tc>
                <w:tcPr>
                  <w:tcW w:w="1000"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风速（m/s）</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1117" w:type="pct"/>
                  <w:tcMar>
                    <w:left w:w="28" w:type="dxa"/>
                    <w:right w:w="28" w:type="dxa"/>
                  </w:tcMar>
                  <w:vAlign w:val="center"/>
                </w:tcPr>
                <w:p>
                  <w:pPr>
                    <w:adjustRightInd w:val="0"/>
                    <w:snapToGrid w:val="0"/>
                    <w:jc w:val="center"/>
                    <w:rPr>
                      <w:rFonts w:cs="Times New Roman"/>
                      <w:sz w:val="18"/>
                      <w:szCs w:val="18"/>
                    </w:rPr>
                  </w:pPr>
                  <w:r>
                    <w:rPr>
                      <w:rFonts w:hint="eastAsia" w:cs="Times New Roman"/>
                      <w:sz w:val="18"/>
                      <w:szCs w:val="18"/>
                    </w:rPr>
                    <w:t>2023年6月28日</w:t>
                  </w:r>
                </w:p>
              </w:tc>
              <w:tc>
                <w:tcPr>
                  <w:tcW w:w="1526" w:type="dxa"/>
                  <w:tcMar>
                    <w:left w:w="28" w:type="dxa"/>
                    <w:right w:w="28" w:type="dxa"/>
                  </w:tcMar>
                  <w:vAlign w:val="center"/>
                </w:tcPr>
                <w:p>
                  <w:pPr>
                    <w:adjustRightInd w:val="0"/>
                    <w:snapToGrid w:val="0"/>
                    <w:jc w:val="center"/>
                    <w:rPr>
                      <w:rFonts w:cs="Times New Roman"/>
                      <w:sz w:val="18"/>
                      <w:szCs w:val="18"/>
                    </w:rPr>
                  </w:pPr>
                  <w:r>
                    <w:rPr>
                      <w:rFonts w:hint="eastAsia" w:cs="Times New Roman"/>
                      <w:sz w:val="18"/>
                      <w:szCs w:val="18"/>
                    </w:rPr>
                    <w:t>晴</w:t>
                  </w:r>
                </w:p>
              </w:tc>
              <w:tc>
                <w:tcPr>
                  <w:tcW w:w="1728" w:type="dxa"/>
                  <w:tcMar>
                    <w:left w:w="28" w:type="dxa"/>
                    <w:right w:w="28" w:type="dxa"/>
                  </w:tcMar>
                  <w:vAlign w:val="center"/>
                </w:tcPr>
                <w:p>
                  <w:pPr>
                    <w:adjustRightInd w:val="0"/>
                    <w:snapToGrid w:val="0"/>
                    <w:jc w:val="center"/>
                    <w:rPr>
                      <w:rFonts w:cs="Times New Roman"/>
                      <w:sz w:val="18"/>
                      <w:szCs w:val="18"/>
                    </w:rPr>
                  </w:pPr>
                  <w:r>
                    <w:rPr>
                      <w:rFonts w:cs="Times New Roman"/>
                      <w:sz w:val="18"/>
                      <w:szCs w:val="18"/>
                    </w:rPr>
                    <w:t>30-33</w:t>
                  </w:r>
                </w:p>
              </w:tc>
              <w:tc>
                <w:tcPr>
                  <w:tcW w:w="1728" w:type="dxa"/>
                  <w:tcMar>
                    <w:left w:w="28" w:type="dxa"/>
                    <w:right w:w="28" w:type="dxa"/>
                  </w:tcMar>
                  <w:vAlign w:val="center"/>
                </w:tcPr>
                <w:p>
                  <w:pPr>
                    <w:adjustRightInd w:val="0"/>
                    <w:snapToGrid w:val="0"/>
                    <w:jc w:val="center"/>
                    <w:rPr>
                      <w:rFonts w:cs="Times New Roman"/>
                      <w:sz w:val="18"/>
                      <w:szCs w:val="18"/>
                    </w:rPr>
                  </w:pPr>
                  <w:r>
                    <w:rPr>
                      <w:rFonts w:cs="Times New Roman"/>
                      <w:sz w:val="18"/>
                      <w:szCs w:val="18"/>
                    </w:rPr>
                    <w:t>65-67</w:t>
                  </w:r>
                </w:p>
              </w:tc>
              <w:tc>
                <w:tcPr>
                  <w:tcW w:w="1729" w:type="dxa"/>
                  <w:tcMar>
                    <w:left w:w="28" w:type="dxa"/>
                    <w:right w:w="28" w:type="dxa"/>
                  </w:tcMar>
                  <w:vAlign w:val="center"/>
                </w:tcPr>
                <w:p>
                  <w:pPr>
                    <w:adjustRightInd w:val="0"/>
                    <w:snapToGrid w:val="0"/>
                    <w:jc w:val="center"/>
                    <w:rPr>
                      <w:rFonts w:cs="Times New Roman"/>
                      <w:sz w:val="18"/>
                      <w:szCs w:val="18"/>
                    </w:rPr>
                  </w:pPr>
                  <w:r>
                    <w:rPr>
                      <w:rFonts w:cs="Times New Roman"/>
                      <w:sz w:val="18"/>
                      <w:szCs w:val="18"/>
                    </w:rPr>
                    <w:t>0.5-0.8</w:t>
                  </w:r>
                </w:p>
              </w:tc>
            </w:tr>
          </w:tbl>
          <w:p>
            <w:pPr>
              <w:rPr>
                <w:rFonts w:cs="Times New Roman"/>
                <w:szCs w:val="21"/>
              </w:rPr>
            </w:pPr>
            <w:bookmarkStart w:id="16" w:name="_Toc474748243"/>
            <w:bookmarkStart w:id="17" w:name="_Toc450143407"/>
            <w:bookmarkStart w:id="18" w:name="_Toc319364901"/>
            <w:bookmarkStart w:id="19" w:name="_Toc471736832"/>
            <w:bookmarkStart w:id="20" w:name="_Toc471983555"/>
          </w:p>
          <w:p>
            <w:pPr>
              <w:pStyle w:val="5"/>
              <w:numPr>
                <w:ilvl w:val="1"/>
                <w:numId w:val="0"/>
              </w:numPr>
              <w:rPr>
                <w:b/>
                <w:color w:val="auto"/>
              </w:rPr>
            </w:pPr>
            <w:r>
              <w:rPr>
                <w:color w:val="auto"/>
              </w:rPr>
              <w:t xml:space="preserve">5.2 </w:t>
            </w:r>
            <w:r>
              <w:rPr>
                <w:bCs w:val="0"/>
                <w:color w:val="auto"/>
              </w:rPr>
              <w:t>监测仪器</w:t>
            </w:r>
          </w:p>
          <w:p>
            <w:pPr>
              <w:spacing w:line="360" w:lineRule="auto"/>
              <w:ind w:firstLine="420" w:firstLineChars="200"/>
              <w:rPr>
                <w:rFonts w:cs="Times New Roman"/>
                <w:szCs w:val="21"/>
              </w:rPr>
            </w:pPr>
            <w:r>
              <w:rPr>
                <w:rFonts w:cs="Times New Roman"/>
                <w:szCs w:val="21"/>
              </w:rPr>
              <w:t>监测仪器及指标见表3.5-2。</w:t>
            </w:r>
          </w:p>
          <w:p>
            <w:pPr>
              <w:jc w:val="center"/>
              <w:rPr>
                <w:rFonts w:eastAsia="黑体" w:cs="Times New Roman"/>
                <w:sz w:val="18"/>
                <w:szCs w:val="18"/>
              </w:rPr>
            </w:pPr>
            <w:r>
              <w:rPr>
                <w:rFonts w:eastAsia="黑体" w:cs="Times New Roman"/>
                <w:sz w:val="18"/>
                <w:szCs w:val="18"/>
              </w:rPr>
              <w:t>表3.5-2   声环境现状监测仪器一览表</w:t>
            </w:r>
          </w:p>
          <w:tbl>
            <w:tblPr>
              <w:tblStyle w:val="49"/>
              <w:tblW w:w="0" w:type="auto"/>
              <w:tblInd w:w="5" w:type="dxa"/>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508"/>
              <w:gridCol w:w="2430"/>
              <w:gridCol w:w="2389"/>
              <w:gridCol w:w="3289"/>
            </w:tblGrid>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0" w:hRule="atLeast"/>
              </w:trPr>
              <w:tc>
                <w:tcPr>
                  <w:tcW w:w="508" w:type="dxa"/>
                  <w:tcMar>
                    <w:left w:w="28" w:type="dxa"/>
                    <w:right w:w="28" w:type="dxa"/>
                  </w:tcMar>
                  <w:vAlign w:val="center"/>
                </w:tcPr>
                <w:p>
                  <w:pPr>
                    <w:adjustRightInd w:val="0"/>
                    <w:snapToGrid w:val="0"/>
                    <w:jc w:val="center"/>
                    <w:rPr>
                      <w:rFonts w:cs="Times New Roman"/>
                      <w:sz w:val="18"/>
                      <w:szCs w:val="21"/>
                    </w:rPr>
                  </w:pPr>
                  <w:r>
                    <w:rPr>
                      <w:rFonts w:cs="Times New Roman"/>
                      <w:sz w:val="18"/>
                      <w:szCs w:val="21"/>
                    </w:rPr>
                    <w:t>项目</w:t>
                  </w:r>
                </w:p>
              </w:tc>
              <w:tc>
                <w:tcPr>
                  <w:tcW w:w="2430" w:type="dxa"/>
                  <w:tcMar>
                    <w:left w:w="28" w:type="dxa"/>
                    <w:right w:w="28" w:type="dxa"/>
                  </w:tcMar>
                  <w:vAlign w:val="center"/>
                </w:tcPr>
                <w:p>
                  <w:pPr>
                    <w:adjustRightInd w:val="0"/>
                    <w:snapToGrid w:val="0"/>
                    <w:jc w:val="center"/>
                    <w:rPr>
                      <w:rFonts w:cs="Times New Roman"/>
                      <w:sz w:val="18"/>
                      <w:szCs w:val="21"/>
                    </w:rPr>
                  </w:pPr>
                  <w:r>
                    <w:rPr>
                      <w:rFonts w:cs="Times New Roman"/>
                      <w:sz w:val="18"/>
                      <w:szCs w:val="21"/>
                    </w:rPr>
                    <w:t>仪器名称、型号及编号</w:t>
                  </w:r>
                </w:p>
              </w:tc>
              <w:tc>
                <w:tcPr>
                  <w:tcW w:w="2389" w:type="dxa"/>
                  <w:tcMar>
                    <w:left w:w="28" w:type="dxa"/>
                    <w:right w:w="28" w:type="dxa"/>
                  </w:tcMar>
                  <w:vAlign w:val="center"/>
                </w:tcPr>
                <w:p>
                  <w:pPr>
                    <w:adjustRightInd w:val="0"/>
                    <w:snapToGrid w:val="0"/>
                    <w:jc w:val="center"/>
                    <w:rPr>
                      <w:rFonts w:cs="Times New Roman"/>
                      <w:sz w:val="18"/>
                      <w:szCs w:val="21"/>
                    </w:rPr>
                  </w:pPr>
                  <w:r>
                    <w:rPr>
                      <w:rFonts w:cs="Times New Roman"/>
                      <w:sz w:val="18"/>
                      <w:szCs w:val="21"/>
                    </w:rPr>
                    <w:t>技术指标</w:t>
                  </w:r>
                </w:p>
              </w:tc>
              <w:tc>
                <w:tcPr>
                  <w:tcW w:w="3289" w:type="dxa"/>
                  <w:tcMar>
                    <w:left w:w="28" w:type="dxa"/>
                    <w:right w:w="28" w:type="dxa"/>
                  </w:tcMar>
                  <w:vAlign w:val="center"/>
                </w:tcPr>
                <w:p>
                  <w:pPr>
                    <w:adjustRightInd w:val="0"/>
                    <w:snapToGrid w:val="0"/>
                    <w:jc w:val="center"/>
                    <w:rPr>
                      <w:rFonts w:cs="Times New Roman"/>
                      <w:sz w:val="18"/>
                      <w:szCs w:val="21"/>
                    </w:rPr>
                  </w:pPr>
                  <w:r>
                    <w:rPr>
                      <w:rFonts w:cs="Times New Roman"/>
                      <w:sz w:val="18"/>
                      <w:szCs w:val="21"/>
                    </w:rPr>
                    <w:t>测试（校准）证书编号</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881" w:hRule="atLeast"/>
              </w:trPr>
              <w:tc>
                <w:tcPr>
                  <w:tcW w:w="508" w:type="dxa"/>
                  <w:tcMar>
                    <w:left w:w="28" w:type="dxa"/>
                    <w:right w:w="28" w:type="dxa"/>
                  </w:tcMar>
                  <w:vAlign w:val="center"/>
                </w:tcPr>
                <w:p>
                  <w:pPr>
                    <w:adjustRightInd w:val="0"/>
                    <w:snapToGrid w:val="0"/>
                    <w:jc w:val="center"/>
                    <w:rPr>
                      <w:rFonts w:cs="Times New Roman"/>
                      <w:sz w:val="18"/>
                      <w:szCs w:val="21"/>
                    </w:rPr>
                  </w:pPr>
                  <w:r>
                    <w:rPr>
                      <w:rFonts w:cs="Times New Roman"/>
                      <w:sz w:val="18"/>
                      <w:szCs w:val="21"/>
                    </w:rPr>
                    <w:t>环境噪声</w:t>
                  </w:r>
                </w:p>
              </w:tc>
              <w:tc>
                <w:tcPr>
                  <w:tcW w:w="2430" w:type="dxa"/>
                  <w:tcMar>
                    <w:left w:w="28" w:type="dxa"/>
                    <w:right w:w="28" w:type="dxa"/>
                  </w:tcMar>
                  <w:vAlign w:val="center"/>
                </w:tcPr>
                <w:p>
                  <w:pPr>
                    <w:adjustRightInd w:val="0"/>
                    <w:snapToGrid w:val="0"/>
                    <w:jc w:val="center"/>
                    <w:rPr>
                      <w:rFonts w:cs="Times New Roman"/>
                      <w:sz w:val="18"/>
                      <w:szCs w:val="21"/>
                    </w:rPr>
                  </w:pPr>
                  <w:r>
                    <w:rPr>
                      <w:rFonts w:cs="Times New Roman"/>
                      <w:sz w:val="18"/>
                      <w:szCs w:val="21"/>
                    </w:rPr>
                    <w:t>仪器名称：多功能声级计</w:t>
                  </w:r>
                </w:p>
                <w:p>
                  <w:pPr>
                    <w:adjustRightInd w:val="0"/>
                    <w:snapToGrid w:val="0"/>
                    <w:jc w:val="center"/>
                    <w:rPr>
                      <w:rFonts w:cs="Times New Roman"/>
                      <w:sz w:val="18"/>
                      <w:szCs w:val="21"/>
                    </w:rPr>
                  </w:pPr>
                  <w:r>
                    <w:rPr>
                      <w:rFonts w:cs="Times New Roman"/>
                      <w:sz w:val="18"/>
                      <w:szCs w:val="21"/>
                    </w:rPr>
                    <w:t>仪器型号：AWA6228+</w:t>
                  </w:r>
                </w:p>
                <w:p>
                  <w:pPr>
                    <w:adjustRightInd w:val="0"/>
                    <w:snapToGrid w:val="0"/>
                    <w:jc w:val="center"/>
                    <w:rPr>
                      <w:rFonts w:cs="Times New Roman"/>
                      <w:sz w:val="18"/>
                      <w:szCs w:val="21"/>
                    </w:rPr>
                  </w:pPr>
                  <w:r>
                    <w:rPr>
                      <w:rFonts w:cs="Times New Roman"/>
                      <w:sz w:val="18"/>
                      <w:szCs w:val="21"/>
                    </w:rPr>
                    <w:t>仪器编号：10335852</w:t>
                  </w:r>
                </w:p>
              </w:tc>
              <w:tc>
                <w:tcPr>
                  <w:tcW w:w="2389" w:type="dxa"/>
                  <w:tcMar>
                    <w:left w:w="28" w:type="dxa"/>
                    <w:right w:w="28" w:type="dxa"/>
                  </w:tcMar>
                  <w:vAlign w:val="center"/>
                </w:tcPr>
                <w:p>
                  <w:pPr>
                    <w:adjustRightInd w:val="0"/>
                    <w:snapToGrid w:val="0"/>
                    <w:jc w:val="center"/>
                    <w:rPr>
                      <w:rFonts w:cs="Times New Roman"/>
                      <w:sz w:val="18"/>
                      <w:szCs w:val="21"/>
                    </w:rPr>
                  </w:pPr>
                  <w:r>
                    <w:rPr>
                      <w:rFonts w:cs="Times New Roman"/>
                      <w:sz w:val="18"/>
                      <w:szCs w:val="21"/>
                    </w:rPr>
                    <w:t>测量范围：24~137dB(A)</w:t>
                  </w:r>
                </w:p>
                <w:p>
                  <w:pPr>
                    <w:adjustRightInd w:val="0"/>
                    <w:snapToGrid w:val="0"/>
                    <w:jc w:val="center"/>
                    <w:rPr>
                      <w:rFonts w:cs="Times New Roman"/>
                      <w:sz w:val="18"/>
                      <w:szCs w:val="21"/>
                    </w:rPr>
                  </w:pPr>
                  <w:r>
                    <w:rPr>
                      <w:rFonts w:cs="Times New Roman"/>
                      <w:sz w:val="18"/>
                      <w:szCs w:val="21"/>
                    </w:rPr>
                    <w:t>频率范围：10Hz~20kHz</w:t>
                  </w:r>
                </w:p>
              </w:tc>
              <w:tc>
                <w:tcPr>
                  <w:tcW w:w="3289" w:type="dxa"/>
                  <w:tcMar>
                    <w:left w:w="28" w:type="dxa"/>
                    <w:right w:w="28" w:type="dxa"/>
                  </w:tcMar>
                  <w:vAlign w:val="center"/>
                </w:tcPr>
                <w:p>
                  <w:pPr>
                    <w:adjustRightInd w:val="0"/>
                    <w:snapToGrid w:val="0"/>
                    <w:jc w:val="center"/>
                    <w:rPr>
                      <w:rFonts w:cs="Times New Roman"/>
                      <w:sz w:val="18"/>
                      <w:szCs w:val="21"/>
                    </w:rPr>
                  </w:pPr>
                  <w:r>
                    <w:rPr>
                      <w:rFonts w:cs="Times New Roman"/>
                      <w:sz w:val="18"/>
                      <w:szCs w:val="21"/>
                    </w:rPr>
                    <w:t>校准单位：</w:t>
                  </w:r>
                  <w:r>
                    <w:rPr>
                      <w:rFonts w:hint="eastAsia" w:cs="Times New Roman"/>
                      <w:sz w:val="18"/>
                      <w:szCs w:val="21"/>
                    </w:rPr>
                    <w:t>上海市计量测试技术研究院（华东国家计量测试中心）</w:t>
                  </w:r>
                </w:p>
                <w:p>
                  <w:pPr>
                    <w:adjustRightInd w:val="0"/>
                    <w:snapToGrid w:val="0"/>
                    <w:jc w:val="center"/>
                    <w:rPr>
                      <w:rFonts w:cs="Times New Roman"/>
                      <w:sz w:val="18"/>
                      <w:szCs w:val="21"/>
                    </w:rPr>
                  </w:pPr>
                  <w:r>
                    <w:rPr>
                      <w:rFonts w:cs="Times New Roman"/>
                      <w:sz w:val="18"/>
                      <w:szCs w:val="21"/>
                    </w:rPr>
                    <w:t>证书编号：2022D51-20-4214168001</w:t>
                  </w:r>
                </w:p>
                <w:p>
                  <w:pPr>
                    <w:adjustRightInd w:val="0"/>
                    <w:snapToGrid w:val="0"/>
                    <w:jc w:val="center"/>
                    <w:rPr>
                      <w:rFonts w:cs="Times New Roman"/>
                      <w:sz w:val="18"/>
                      <w:szCs w:val="18"/>
                    </w:rPr>
                  </w:pPr>
                  <w:r>
                    <w:rPr>
                      <w:rFonts w:cs="Times New Roman"/>
                      <w:sz w:val="18"/>
                      <w:szCs w:val="21"/>
                    </w:rPr>
                    <w:t>有效期：</w:t>
                  </w:r>
                  <w:r>
                    <w:rPr>
                      <w:rFonts w:hint="eastAsia" w:cs="Times New Roman"/>
                      <w:sz w:val="18"/>
                      <w:szCs w:val="21"/>
                    </w:rPr>
                    <w:t>20</w:t>
                  </w:r>
                  <w:r>
                    <w:rPr>
                      <w:rFonts w:cs="Times New Roman"/>
                      <w:sz w:val="18"/>
                      <w:szCs w:val="21"/>
                    </w:rPr>
                    <w:t>22</w:t>
                  </w:r>
                  <w:r>
                    <w:rPr>
                      <w:rFonts w:hint="eastAsia" w:cs="Times New Roman"/>
                      <w:sz w:val="18"/>
                      <w:szCs w:val="21"/>
                    </w:rPr>
                    <w:t>年</w:t>
                  </w:r>
                  <w:r>
                    <w:rPr>
                      <w:rFonts w:cs="Times New Roman"/>
                      <w:sz w:val="18"/>
                      <w:szCs w:val="21"/>
                    </w:rPr>
                    <w:t>10</w:t>
                  </w:r>
                  <w:r>
                    <w:rPr>
                      <w:rFonts w:hint="eastAsia" w:cs="Times New Roman"/>
                      <w:sz w:val="18"/>
                      <w:szCs w:val="21"/>
                    </w:rPr>
                    <w:t>月</w:t>
                  </w:r>
                  <w:r>
                    <w:rPr>
                      <w:rFonts w:cs="Times New Roman"/>
                      <w:sz w:val="18"/>
                      <w:szCs w:val="21"/>
                    </w:rPr>
                    <w:t>25</w:t>
                  </w:r>
                  <w:r>
                    <w:rPr>
                      <w:rFonts w:hint="eastAsia" w:cs="Times New Roman"/>
                      <w:sz w:val="18"/>
                      <w:szCs w:val="21"/>
                    </w:rPr>
                    <w:t>日~20</w:t>
                  </w:r>
                  <w:r>
                    <w:rPr>
                      <w:rFonts w:cs="Times New Roman"/>
                      <w:sz w:val="18"/>
                      <w:szCs w:val="21"/>
                    </w:rPr>
                    <w:t>23</w:t>
                  </w:r>
                  <w:r>
                    <w:rPr>
                      <w:rFonts w:hint="eastAsia" w:cs="Times New Roman"/>
                      <w:sz w:val="18"/>
                      <w:szCs w:val="21"/>
                    </w:rPr>
                    <w:t>年</w:t>
                  </w:r>
                  <w:r>
                    <w:rPr>
                      <w:rFonts w:cs="Times New Roman"/>
                      <w:sz w:val="18"/>
                      <w:szCs w:val="21"/>
                    </w:rPr>
                    <w:t>10</w:t>
                  </w:r>
                  <w:r>
                    <w:rPr>
                      <w:rFonts w:hint="eastAsia" w:cs="Times New Roman"/>
                      <w:sz w:val="18"/>
                      <w:szCs w:val="18"/>
                    </w:rPr>
                    <w:t>月</w:t>
                  </w:r>
                  <w:r>
                    <w:rPr>
                      <w:rFonts w:cs="Times New Roman"/>
                      <w:sz w:val="18"/>
                      <w:szCs w:val="18"/>
                    </w:rPr>
                    <w:t>24</w:t>
                  </w:r>
                  <w:r>
                    <w:rPr>
                      <w:rFonts w:hint="eastAsia" w:cs="Times New Roman"/>
                      <w:sz w:val="18"/>
                      <w:szCs w:val="18"/>
                    </w:rPr>
                    <w:t>日</w:t>
                  </w:r>
                </w:p>
                <w:p>
                  <w:pPr>
                    <w:pStyle w:val="2"/>
                    <w:jc w:val="center"/>
                  </w:pPr>
                  <w:r>
                    <w:rPr>
                      <w:rFonts w:hint="eastAsia" w:ascii="Times New Roman" w:hAnsi="Times New Roman" w:cs="Times New Roman"/>
                      <w:sz w:val="18"/>
                      <w:szCs w:val="21"/>
                    </w:rPr>
                    <w:t>校准器：</w:t>
                  </w:r>
                  <w:r>
                    <w:rPr>
                      <w:rFonts w:ascii="Times New Roman" w:hAnsi="Times New Roman" w:cs="Times New Roman"/>
                      <w:sz w:val="18"/>
                      <w:szCs w:val="21"/>
                    </w:rPr>
                    <w:t>AWA6021A</w:t>
                  </w:r>
                  <w:r>
                    <w:rPr>
                      <w:rFonts w:hint="eastAsia" w:ascii="Times New Roman" w:hAnsi="Times New Roman" w:cs="Times New Roman"/>
                      <w:sz w:val="18"/>
                      <w:szCs w:val="21"/>
                    </w:rPr>
                    <w:t>（测量范围</w:t>
                  </w:r>
                  <w:r>
                    <w:rPr>
                      <w:rFonts w:ascii="Times New Roman" w:hAnsi="Times New Roman" w:cs="Times New Roman"/>
                      <w:sz w:val="18"/>
                      <w:szCs w:val="21"/>
                    </w:rPr>
                    <w:t>2Hz~200kHz</w:t>
                  </w:r>
                  <w:r>
                    <w:rPr>
                      <w:rFonts w:hint="eastAsia" w:ascii="Times New Roman" w:hAnsi="Times New Roman" w:cs="Times New Roman"/>
                      <w:sz w:val="18"/>
                      <w:szCs w:val="21"/>
                    </w:rPr>
                    <w:t>）</w:t>
                  </w:r>
                </w:p>
              </w:tc>
            </w:tr>
          </w:tbl>
          <w:p>
            <w:pPr>
              <w:rPr>
                <w:rFonts w:cs="Times New Roman"/>
                <w:szCs w:val="21"/>
                <w:highlight w:val="yellow"/>
              </w:rPr>
            </w:pPr>
          </w:p>
          <w:p>
            <w:pPr>
              <w:pStyle w:val="32"/>
              <w:keepLines/>
              <w:spacing w:line="360" w:lineRule="auto"/>
              <w:ind w:firstLine="0" w:firstLineChars="0"/>
              <w:outlineLvl w:val="2"/>
              <w:rPr>
                <w:rFonts w:eastAsia="黑体" w:cs="Times New Roman"/>
                <w:szCs w:val="32"/>
              </w:rPr>
            </w:pPr>
            <w:r>
              <w:rPr>
                <w:rFonts w:eastAsia="黑体" w:cs="Times New Roman"/>
                <w:szCs w:val="32"/>
              </w:rPr>
              <w:t>5.3监测方法</w:t>
            </w:r>
          </w:p>
          <w:p>
            <w:pPr>
              <w:spacing w:line="360" w:lineRule="auto"/>
              <w:ind w:firstLine="420" w:firstLineChars="200"/>
              <w:rPr>
                <w:rFonts w:cs="Times New Roman"/>
                <w:szCs w:val="21"/>
              </w:rPr>
            </w:pPr>
            <w:r>
              <w:rPr>
                <w:rFonts w:cs="Times New Roman"/>
                <w:szCs w:val="21"/>
              </w:rPr>
              <w:t>《声环境质量标准》（GB 3096-2008）</w:t>
            </w:r>
            <w:r>
              <w:rPr>
                <w:rFonts w:hint="eastAsia" w:cs="Times New Roman"/>
                <w:szCs w:val="21"/>
              </w:rPr>
              <w:t>。</w:t>
            </w:r>
          </w:p>
          <w:p>
            <w:pPr>
              <w:pStyle w:val="32"/>
              <w:keepLines/>
              <w:spacing w:line="360" w:lineRule="auto"/>
              <w:ind w:firstLine="0" w:firstLineChars="0"/>
              <w:outlineLvl w:val="2"/>
              <w:rPr>
                <w:rFonts w:eastAsia="黑体" w:cs="Times New Roman"/>
                <w:szCs w:val="32"/>
              </w:rPr>
            </w:pPr>
            <w:r>
              <w:rPr>
                <w:rFonts w:eastAsia="黑体" w:cs="Times New Roman"/>
                <w:szCs w:val="32"/>
              </w:rPr>
              <w:t>5.</w:t>
            </w:r>
            <w:r>
              <w:rPr>
                <w:rFonts w:hint="eastAsia" w:eastAsia="黑体" w:cs="Times New Roman"/>
                <w:szCs w:val="32"/>
              </w:rPr>
              <w:t>4</w:t>
            </w:r>
            <w:r>
              <w:rPr>
                <w:rFonts w:eastAsia="黑体" w:cs="Times New Roman"/>
                <w:szCs w:val="32"/>
              </w:rPr>
              <w:t>监测</w:t>
            </w:r>
            <w:r>
              <w:rPr>
                <w:rFonts w:hint="eastAsia" w:eastAsia="黑体" w:cs="Times New Roman"/>
                <w:szCs w:val="32"/>
              </w:rPr>
              <w:t>布点</w:t>
            </w:r>
          </w:p>
          <w:p>
            <w:pPr>
              <w:spacing w:line="360" w:lineRule="auto"/>
              <w:ind w:firstLine="420" w:firstLineChars="200"/>
              <w:outlineLvl w:val="2"/>
              <w:rPr>
                <w:rFonts w:eastAsia="黑体" w:cs="Times New Roman"/>
                <w:szCs w:val="32"/>
              </w:rPr>
            </w:pPr>
            <w:r>
              <w:rPr>
                <w:rFonts w:cs="Times New Roman"/>
                <w:szCs w:val="21"/>
              </w:rPr>
              <w:t>本</w:t>
            </w:r>
            <w:r>
              <w:rPr>
                <w:rFonts w:hint="eastAsia" w:cs="Times New Roman"/>
                <w:szCs w:val="21"/>
              </w:rPr>
              <w:t>项目</w:t>
            </w:r>
            <w:r>
              <w:rPr>
                <w:rFonts w:cs="Times New Roman"/>
                <w:szCs w:val="21"/>
              </w:rPr>
              <w:t>监测布点</w:t>
            </w:r>
            <w:r>
              <w:rPr>
                <w:rFonts w:hint="eastAsia" w:cs="Times New Roman"/>
                <w:szCs w:val="21"/>
              </w:rPr>
              <w:t>设置</w:t>
            </w:r>
            <w:r>
              <w:rPr>
                <w:rFonts w:cs="Times New Roman"/>
                <w:szCs w:val="21"/>
              </w:rPr>
              <w:t>在</w:t>
            </w:r>
            <w:r>
              <w:rPr>
                <w:rFonts w:hint="eastAsia" w:cs="Times New Roman"/>
                <w:szCs w:val="21"/>
              </w:rPr>
              <w:t>拟建架空线路沿线正下方距地面1.2m以上，</w:t>
            </w:r>
            <w:r>
              <w:rPr>
                <w:rFonts w:cs="Times New Roman"/>
                <w:szCs w:val="21"/>
              </w:rPr>
              <w:t>具体监测点位示意图见附件5</w:t>
            </w:r>
            <w:r>
              <w:rPr>
                <w:rFonts w:hint="eastAsia" w:cs="Times New Roman"/>
                <w:szCs w:val="21"/>
              </w:rPr>
              <w:t>检测报告</w:t>
            </w:r>
            <w:r>
              <w:rPr>
                <w:rFonts w:cs="Times New Roman"/>
                <w:szCs w:val="21"/>
              </w:rPr>
              <w:t>。</w:t>
            </w:r>
          </w:p>
          <w:p>
            <w:pPr>
              <w:pStyle w:val="32"/>
              <w:keepLines/>
              <w:spacing w:line="360" w:lineRule="auto"/>
              <w:ind w:firstLine="0" w:firstLineChars="0"/>
              <w:outlineLvl w:val="2"/>
              <w:rPr>
                <w:rFonts w:eastAsia="黑体" w:cs="Times New Roman"/>
                <w:szCs w:val="32"/>
              </w:rPr>
            </w:pPr>
            <w:r>
              <w:rPr>
                <w:rFonts w:eastAsia="黑体" w:cs="Times New Roman"/>
                <w:szCs w:val="32"/>
              </w:rPr>
              <w:t>5.5</w:t>
            </w:r>
            <w:r>
              <w:rPr>
                <w:rFonts w:hint="eastAsia" w:eastAsia="黑体" w:cs="Times New Roman"/>
                <w:szCs w:val="32"/>
              </w:rPr>
              <w:t>监测结果</w:t>
            </w:r>
            <w:bookmarkEnd w:id="16"/>
            <w:bookmarkEnd w:id="17"/>
            <w:bookmarkEnd w:id="18"/>
            <w:bookmarkEnd w:id="19"/>
            <w:bookmarkEnd w:id="20"/>
            <w:r>
              <w:rPr>
                <w:rFonts w:hint="eastAsia" w:eastAsia="黑体" w:cs="Times New Roman"/>
                <w:szCs w:val="32"/>
              </w:rPr>
              <w:t>及达标分析</w:t>
            </w:r>
          </w:p>
          <w:p>
            <w:pPr>
              <w:spacing w:line="360" w:lineRule="auto"/>
              <w:ind w:firstLine="420" w:firstLineChars="200"/>
              <w:rPr>
                <w:rFonts w:cs="Times New Roman"/>
                <w:szCs w:val="21"/>
              </w:rPr>
            </w:pPr>
            <w:r>
              <w:rPr>
                <w:rFonts w:cs="Times New Roman"/>
                <w:szCs w:val="21"/>
              </w:rPr>
              <w:t>本</w:t>
            </w:r>
            <w:r>
              <w:rPr>
                <w:rFonts w:hint="eastAsia" w:cs="Times New Roman"/>
                <w:szCs w:val="21"/>
              </w:rPr>
              <w:t>项目</w:t>
            </w:r>
            <w:r>
              <w:rPr>
                <w:rFonts w:cs="Times New Roman"/>
                <w:szCs w:val="21"/>
              </w:rPr>
              <w:t>声环境质量现状监测结果见表3.5-3。</w:t>
            </w:r>
          </w:p>
          <w:p>
            <w:pPr>
              <w:jc w:val="center"/>
              <w:rPr>
                <w:rFonts w:eastAsia="黑体" w:cs="Times New Roman"/>
                <w:sz w:val="18"/>
                <w:szCs w:val="18"/>
              </w:rPr>
            </w:pPr>
            <w:r>
              <w:rPr>
                <w:rFonts w:eastAsia="黑体" w:cs="Times New Roman"/>
                <w:sz w:val="18"/>
                <w:szCs w:val="18"/>
              </w:rPr>
              <w:t>表3.5-</w:t>
            </w:r>
            <w:r>
              <w:rPr>
                <w:rFonts w:hint="eastAsia" w:eastAsia="黑体" w:cs="Times New Roman"/>
                <w:sz w:val="18"/>
                <w:szCs w:val="18"/>
              </w:rPr>
              <w:t>3</w:t>
            </w:r>
            <w:r>
              <w:rPr>
                <w:rFonts w:eastAsia="黑体" w:cs="Times New Roman"/>
                <w:sz w:val="18"/>
                <w:szCs w:val="18"/>
              </w:rPr>
              <w:t xml:space="preserve">   声环境质量现状监测结果表</w:t>
            </w:r>
          </w:p>
          <w:tbl>
            <w:tblPr>
              <w:tblStyle w:val="49"/>
              <w:tblW w:w="9187" w:type="dxa"/>
              <w:tblInd w:w="5" w:type="dxa"/>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53"/>
              <w:gridCol w:w="3190"/>
              <w:gridCol w:w="1112"/>
              <w:gridCol w:w="1077"/>
              <w:gridCol w:w="2451"/>
              <w:gridCol w:w="904"/>
            </w:tblGrid>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4" w:hRule="atLeast"/>
              </w:trPr>
              <w:tc>
                <w:tcPr>
                  <w:tcW w:w="247"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序号</w:t>
                  </w:r>
                </w:p>
              </w:tc>
              <w:tc>
                <w:tcPr>
                  <w:tcW w:w="1736"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监测点位</w:t>
                  </w:r>
                </w:p>
              </w:tc>
              <w:tc>
                <w:tcPr>
                  <w:tcW w:w="605"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昼间监测值（dB(A)）</w:t>
                  </w:r>
                </w:p>
              </w:tc>
              <w:tc>
                <w:tcPr>
                  <w:tcW w:w="586"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夜间监测值（dB(A)）</w:t>
                  </w:r>
                </w:p>
              </w:tc>
              <w:tc>
                <w:tcPr>
                  <w:tcW w:w="1334"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限值标准（dB(A)）</w:t>
                  </w:r>
                </w:p>
              </w:tc>
              <w:tc>
                <w:tcPr>
                  <w:tcW w:w="492"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备注</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4" w:hRule="atLeast"/>
              </w:trPr>
              <w:tc>
                <w:tcPr>
                  <w:tcW w:w="247"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A</w:t>
                  </w:r>
                </w:p>
              </w:tc>
              <w:tc>
                <w:tcPr>
                  <w:tcW w:w="1736"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范家埭3</w:t>
                  </w:r>
                  <w:r>
                    <w:rPr>
                      <w:rFonts w:cs="Times New Roman"/>
                      <w:sz w:val="18"/>
                      <w:szCs w:val="21"/>
                    </w:rPr>
                    <w:t>0</w:t>
                  </w:r>
                  <w:r>
                    <w:rPr>
                      <w:rFonts w:hint="eastAsia" w:cs="Times New Roman"/>
                      <w:sz w:val="18"/>
                      <w:szCs w:val="21"/>
                    </w:rPr>
                    <w:t>号民房北侧，拟建线路下方</w:t>
                  </w:r>
                </w:p>
              </w:tc>
              <w:tc>
                <w:tcPr>
                  <w:tcW w:w="605"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5</w:t>
                  </w:r>
                  <w:r>
                    <w:rPr>
                      <w:rFonts w:cs="Times New Roman"/>
                      <w:sz w:val="18"/>
                      <w:szCs w:val="21"/>
                    </w:rPr>
                    <w:t>5.8</w:t>
                  </w:r>
                </w:p>
              </w:tc>
              <w:tc>
                <w:tcPr>
                  <w:tcW w:w="586"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4</w:t>
                  </w:r>
                  <w:r>
                    <w:rPr>
                      <w:rFonts w:cs="Times New Roman"/>
                      <w:sz w:val="18"/>
                      <w:szCs w:val="21"/>
                    </w:rPr>
                    <w:t>6.2</w:t>
                  </w:r>
                </w:p>
              </w:tc>
              <w:tc>
                <w:tcPr>
                  <w:tcW w:w="1334"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2</w:t>
                  </w:r>
                  <w:r>
                    <w:rPr>
                      <w:rFonts w:hint="eastAsia" w:cs="Times New Roman"/>
                      <w:sz w:val="18"/>
                      <w:szCs w:val="21"/>
                    </w:rPr>
                    <w:t>类，昼间≤</w:t>
                  </w:r>
                  <w:r>
                    <w:rPr>
                      <w:rFonts w:cs="Times New Roman"/>
                      <w:sz w:val="18"/>
                      <w:szCs w:val="21"/>
                    </w:rPr>
                    <w:t>60</w:t>
                  </w:r>
                  <w:r>
                    <w:rPr>
                      <w:rFonts w:hint="eastAsia" w:cs="Times New Roman"/>
                      <w:sz w:val="18"/>
                      <w:szCs w:val="21"/>
                    </w:rPr>
                    <w:t>，夜间≤</w:t>
                  </w:r>
                  <w:r>
                    <w:rPr>
                      <w:rFonts w:cs="Times New Roman"/>
                      <w:sz w:val="18"/>
                      <w:szCs w:val="21"/>
                    </w:rPr>
                    <w:t>50</w:t>
                  </w:r>
                </w:p>
              </w:tc>
              <w:tc>
                <w:tcPr>
                  <w:tcW w:w="492"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已搬空</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4" w:hRule="atLeast"/>
              </w:trPr>
              <w:tc>
                <w:tcPr>
                  <w:tcW w:w="247"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B</w:t>
                  </w:r>
                </w:p>
              </w:tc>
              <w:tc>
                <w:tcPr>
                  <w:tcW w:w="1736"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范家埭</w:t>
                  </w:r>
                  <w:r>
                    <w:rPr>
                      <w:rFonts w:cs="Times New Roman"/>
                      <w:sz w:val="18"/>
                      <w:szCs w:val="21"/>
                    </w:rPr>
                    <w:t>15</w:t>
                  </w:r>
                  <w:r>
                    <w:rPr>
                      <w:rFonts w:hint="eastAsia" w:cs="Times New Roman"/>
                      <w:sz w:val="18"/>
                      <w:szCs w:val="21"/>
                    </w:rPr>
                    <w:t>号民房北侧</w:t>
                  </w:r>
                </w:p>
              </w:tc>
              <w:tc>
                <w:tcPr>
                  <w:tcW w:w="605"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5</w:t>
                  </w:r>
                  <w:r>
                    <w:rPr>
                      <w:rFonts w:cs="Times New Roman"/>
                      <w:sz w:val="18"/>
                      <w:szCs w:val="21"/>
                    </w:rPr>
                    <w:t>2.8</w:t>
                  </w:r>
                </w:p>
              </w:tc>
              <w:tc>
                <w:tcPr>
                  <w:tcW w:w="586"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4</w:t>
                  </w:r>
                  <w:r>
                    <w:rPr>
                      <w:rFonts w:cs="Times New Roman"/>
                      <w:sz w:val="18"/>
                      <w:szCs w:val="21"/>
                    </w:rPr>
                    <w:t>8.8</w:t>
                  </w:r>
                </w:p>
              </w:tc>
              <w:tc>
                <w:tcPr>
                  <w:tcW w:w="1334"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2</w:t>
                  </w:r>
                  <w:r>
                    <w:rPr>
                      <w:rFonts w:hint="eastAsia" w:cs="Times New Roman"/>
                      <w:sz w:val="18"/>
                      <w:szCs w:val="21"/>
                    </w:rPr>
                    <w:t>类，昼间≤</w:t>
                  </w:r>
                  <w:r>
                    <w:rPr>
                      <w:rFonts w:cs="Times New Roman"/>
                      <w:sz w:val="18"/>
                      <w:szCs w:val="21"/>
                    </w:rPr>
                    <w:t>60</w:t>
                  </w:r>
                  <w:r>
                    <w:rPr>
                      <w:rFonts w:hint="eastAsia" w:cs="Times New Roman"/>
                      <w:sz w:val="18"/>
                      <w:szCs w:val="21"/>
                    </w:rPr>
                    <w:t>，夜间≤</w:t>
                  </w:r>
                  <w:r>
                    <w:rPr>
                      <w:rFonts w:cs="Times New Roman"/>
                      <w:sz w:val="18"/>
                      <w:szCs w:val="21"/>
                    </w:rPr>
                    <w:t>50</w:t>
                  </w:r>
                </w:p>
              </w:tc>
              <w:tc>
                <w:tcPr>
                  <w:tcW w:w="492"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已搬空</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4" w:hRule="atLeast"/>
              </w:trPr>
              <w:tc>
                <w:tcPr>
                  <w:tcW w:w="247"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C</w:t>
                  </w:r>
                </w:p>
              </w:tc>
              <w:tc>
                <w:tcPr>
                  <w:tcW w:w="1736"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范家埭</w:t>
                  </w:r>
                  <w:r>
                    <w:rPr>
                      <w:rFonts w:cs="Times New Roman"/>
                      <w:sz w:val="18"/>
                      <w:szCs w:val="21"/>
                    </w:rPr>
                    <w:t>39</w:t>
                  </w:r>
                  <w:r>
                    <w:rPr>
                      <w:rFonts w:hint="eastAsia" w:cs="Times New Roman"/>
                      <w:sz w:val="18"/>
                      <w:szCs w:val="21"/>
                    </w:rPr>
                    <w:t>号民房西南侧</w:t>
                  </w:r>
                </w:p>
              </w:tc>
              <w:tc>
                <w:tcPr>
                  <w:tcW w:w="605"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5</w:t>
                  </w:r>
                  <w:r>
                    <w:rPr>
                      <w:rFonts w:cs="Times New Roman"/>
                      <w:sz w:val="18"/>
                      <w:szCs w:val="21"/>
                    </w:rPr>
                    <w:t>5.7</w:t>
                  </w:r>
                </w:p>
              </w:tc>
              <w:tc>
                <w:tcPr>
                  <w:tcW w:w="586"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4</w:t>
                  </w:r>
                  <w:r>
                    <w:rPr>
                      <w:rFonts w:cs="Times New Roman"/>
                      <w:sz w:val="18"/>
                      <w:szCs w:val="21"/>
                    </w:rPr>
                    <w:t>7.0</w:t>
                  </w:r>
                </w:p>
              </w:tc>
              <w:tc>
                <w:tcPr>
                  <w:tcW w:w="1334" w:type="pct"/>
                  <w:tcMar>
                    <w:left w:w="28" w:type="dxa"/>
                    <w:right w:w="28" w:type="dxa"/>
                  </w:tcMar>
                  <w:vAlign w:val="center"/>
                </w:tcPr>
                <w:p>
                  <w:pPr>
                    <w:adjustRightInd w:val="0"/>
                    <w:snapToGrid w:val="0"/>
                    <w:jc w:val="center"/>
                    <w:rPr>
                      <w:rFonts w:cs="Times New Roman"/>
                      <w:sz w:val="18"/>
                      <w:szCs w:val="21"/>
                    </w:rPr>
                  </w:pPr>
                  <w:r>
                    <w:rPr>
                      <w:rFonts w:cs="Times New Roman"/>
                      <w:sz w:val="18"/>
                      <w:szCs w:val="21"/>
                    </w:rPr>
                    <w:t>2</w:t>
                  </w:r>
                  <w:r>
                    <w:rPr>
                      <w:rFonts w:hint="eastAsia" w:cs="Times New Roman"/>
                      <w:sz w:val="18"/>
                      <w:szCs w:val="21"/>
                    </w:rPr>
                    <w:t>类，昼间≤</w:t>
                  </w:r>
                  <w:r>
                    <w:rPr>
                      <w:rFonts w:cs="Times New Roman"/>
                      <w:sz w:val="18"/>
                      <w:szCs w:val="21"/>
                    </w:rPr>
                    <w:t>60</w:t>
                  </w:r>
                  <w:r>
                    <w:rPr>
                      <w:rFonts w:hint="eastAsia" w:cs="Times New Roman"/>
                      <w:sz w:val="18"/>
                      <w:szCs w:val="21"/>
                    </w:rPr>
                    <w:t>，夜间≤</w:t>
                  </w:r>
                  <w:r>
                    <w:rPr>
                      <w:rFonts w:cs="Times New Roman"/>
                      <w:sz w:val="18"/>
                      <w:szCs w:val="21"/>
                    </w:rPr>
                    <w:t>50</w:t>
                  </w:r>
                </w:p>
              </w:tc>
              <w:tc>
                <w:tcPr>
                  <w:tcW w:w="492" w:type="pct"/>
                  <w:tcMar>
                    <w:left w:w="28" w:type="dxa"/>
                    <w:right w:w="28" w:type="dxa"/>
                  </w:tcMar>
                  <w:vAlign w:val="center"/>
                </w:tcPr>
                <w:p>
                  <w:pPr>
                    <w:adjustRightInd w:val="0"/>
                    <w:snapToGrid w:val="0"/>
                    <w:jc w:val="center"/>
                    <w:rPr>
                      <w:rFonts w:cs="Times New Roman"/>
                      <w:sz w:val="18"/>
                      <w:szCs w:val="21"/>
                    </w:rPr>
                  </w:pPr>
                  <w:r>
                    <w:rPr>
                      <w:rFonts w:hint="eastAsia" w:cs="Times New Roman"/>
                      <w:sz w:val="18"/>
                      <w:szCs w:val="21"/>
                    </w:rPr>
                    <w:t>敏感点</w:t>
                  </w:r>
                </w:p>
              </w:tc>
            </w:tr>
          </w:tbl>
          <w:p>
            <w:pPr>
              <w:rPr>
                <w:rFonts w:eastAsia="黑体" w:cs="Times New Roman"/>
                <w:sz w:val="18"/>
                <w:szCs w:val="20"/>
              </w:rPr>
            </w:pPr>
          </w:p>
          <w:p>
            <w:pPr>
              <w:spacing w:line="360" w:lineRule="auto"/>
              <w:ind w:firstLine="420" w:firstLineChars="200"/>
              <w:rPr>
                <w:rFonts w:cs="Times New Roman"/>
                <w:szCs w:val="21"/>
              </w:rPr>
            </w:pPr>
            <w:r>
              <w:rPr>
                <w:rFonts w:cs="Times New Roman"/>
                <w:szCs w:val="21"/>
              </w:rPr>
              <w:t>根据表中监测结果，</w:t>
            </w:r>
            <w:r>
              <w:rPr>
                <w:rFonts w:hint="eastAsia" w:cs="Times New Roman"/>
                <w:szCs w:val="21"/>
              </w:rPr>
              <w:t>本项目拟建110kV双回架空线路沿线各测点及敏感点处</w:t>
            </w:r>
            <w:r>
              <w:rPr>
                <w:rFonts w:cs="Times New Roman"/>
                <w:szCs w:val="21"/>
              </w:rPr>
              <w:t>昼夜噪声监测值满足《声环境质量标准》（GB 3096-2008）2</w:t>
            </w:r>
            <w:r>
              <w:rPr>
                <w:rFonts w:hint="eastAsia" w:cs="Times New Roman"/>
                <w:szCs w:val="21"/>
              </w:rPr>
              <w:t>类</w:t>
            </w:r>
            <w:r>
              <w:rPr>
                <w:rFonts w:cs="Times New Roman"/>
                <w:szCs w:val="21"/>
              </w:rPr>
              <w:t>标准要求。</w:t>
            </w:r>
          </w:p>
          <w:p>
            <w:pPr>
              <w:pStyle w:val="32"/>
              <w:keepLines/>
              <w:numPr>
                <w:ilvl w:val="0"/>
                <w:numId w:val="6"/>
              </w:numPr>
              <w:spacing w:line="360" w:lineRule="auto"/>
              <w:ind w:firstLineChars="0"/>
              <w:outlineLvl w:val="1"/>
              <w:rPr>
                <w:rFonts w:eastAsia="黑体" w:cs="Times New Roman"/>
                <w:bCs/>
                <w:szCs w:val="32"/>
              </w:rPr>
            </w:pPr>
            <w:r>
              <w:rPr>
                <w:rFonts w:eastAsia="黑体" w:cs="Times New Roman"/>
                <w:bCs/>
                <w:szCs w:val="32"/>
              </w:rPr>
              <w:t>电磁环境</w:t>
            </w:r>
          </w:p>
          <w:p>
            <w:pPr>
              <w:spacing w:line="360" w:lineRule="auto"/>
              <w:ind w:firstLine="420" w:firstLineChars="200"/>
              <w:jc w:val="both"/>
              <w:rPr>
                <w:rFonts w:cs="Times New Roman"/>
                <w:szCs w:val="21"/>
              </w:rPr>
            </w:pPr>
            <w:r>
              <w:rPr>
                <w:rFonts w:cs="Times New Roman"/>
                <w:szCs w:val="21"/>
              </w:rPr>
              <w:t>根据电磁环境现状监测结果，本</w:t>
            </w:r>
            <w:r>
              <w:rPr>
                <w:rFonts w:hint="eastAsia" w:cs="Times New Roman"/>
                <w:szCs w:val="21"/>
              </w:rPr>
              <w:t>项目</w:t>
            </w:r>
            <w:r>
              <w:rPr>
                <w:rFonts w:cs="Times New Roman"/>
                <w:szCs w:val="21"/>
              </w:rPr>
              <w:t>所有监测点位工频电场强度监测值在2.535V/m~39.43V/m之间、工频磁感应强度监测值在0.1741μT~0.1809μT之间，分别可满足《电磁环境控制限值》（GB 8702-2014）中工频电场强度4kV/m、工频磁感应强度100µT的公众曝露控制限值要求。</w:t>
            </w:r>
            <w:r>
              <w:rPr>
                <w:rFonts w:hint="eastAsia"/>
              </w:rPr>
              <w:t>老</w:t>
            </w:r>
            <w:r>
              <w:rPr>
                <w:rFonts w:hint="eastAsia" w:cs="Times New Roman"/>
                <w:szCs w:val="21"/>
              </w:rPr>
              <w:t>线路对地投影下方0~</w:t>
            </w:r>
            <w:r>
              <w:rPr>
                <w:rFonts w:cs="Times New Roman"/>
                <w:szCs w:val="21"/>
              </w:rPr>
              <w:t>50</w:t>
            </w:r>
            <w:r>
              <w:rPr>
                <w:rFonts w:hint="eastAsia" w:cs="Times New Roman"/>
                <w:szCs w:val="21"/>
              </w:rPr>
              <w:t>m的</w:t>
            </w:r>
            <w:r>
              <w:rPr>
                <w:rFonts w:cs="Times New Roman"/>
                <w:szCs w:val="21"/>
              </w:rPr>
              <w:t>工频电场强度监测值在41.22V/m~1100V/m之间、工频磁感应强度监测值在0.1694μT~0.1922μT之间，分别可满足《电磁环境控制限值》（GB 8702-2014）中工频电场强度4kV/m、工频磁感应强度100µT的公众曝露控制限值要求。</w:t>
            </w:r>
          </w:p>
          <w:p>
            <w:pPr>
              <w:spacing w:line="360" w:lineRule="auto"/>
              <w:ind w:firstLine="420" w:firstLineChars="200"/>
              <w:rPr>
                <w:rFonts w:cs="Times New Roman"/>
                <w:szCs w:val="21"/>
                <w:highlight w:val="yellow"/>
              </w:rPr>
            </w:pPr>
            <w:r>
              <w:rPr>
                <w:rFonts w:cs="Times New Roman"/>
                <w:szCs w:val="21"/>
              </w:rPr>
              <w:t>电磁环境现状评价详见《电磁环境影响专项评价》。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835" w:hRule="atLeast"/>
          <w:jc w:val="center"/>
        </w:trPr>
        <w:tc>
          <w:tcPr>
            <w:tcW w:w="402" w:type="dxa"/>
            <w:vAlign w:val="center"/>
          </w:tcPr>
          <w:p>
            <w:pPr>
              <w:adjustRightInd w:val="0"/>
              <w:snapToGrid w:val="0"/>
              <w:jc w:val="center"/>
              <w:rPr>
                <w:rFonts w:eastAsia="黑体" w:cs="Times New Roman"/>
                <w:kern w:val="0"/>
                <w:szCs w:val="21"/>
              </w:rPr>
            </w:pPr>
            <w:r>
              <w:rPr>
                <w:rFonts w:eastAsia="黑体" w:cs="Times New Roman"/>
                <w:kern w:val="0"/>
                <w:szCs w:val="21"/>
              </w:rPr>
              <w:t>与项目有关的原有环境污染和生态破坏问题</w:t>
            </w:r>
          </w:p>
        </w:tc>
        <w:tc>
          <w:tcPr>
            <w:tcW w:w="8755" w:type="dxa"/>
            <w:vAlign w:val="center"/>
          </w:tcPr>
          <w:p>
            <w:pPr>
              <w:spacing w:line="360" w:lineRule="auto"/>
              <w:ind w:firstLine="420" w:firstLineChars="200"/>
              <w:rPr>
                <w:rFonts w:cs="Times New Roman"/>
                <w:szCs w:val="21"/>
              </w:rPr>
            </w:pPr>
            <w:r>
              <w:rPr>
                <w:rFonts w:cs="Times New Roman"/>
                <w:szCs w:val="21"/>
              </w:rPr>
              <w:t>本工程</w:t>
            </w:r>
            <w:r>
              <w:rPr>
                <w:rFonts w:hint="eastAsia" w:cs="Times New Roman"/>
                <w:szCs w:val="21"/>
              </w:rPr>
              <w:t>为110kV民盐1292线20#-22#改迁工程，原有项目2</w:t>
            </w:r>
            <w:r>
              <w:rPr>
                <w:rFonts w:cs="Times New Roman"/>
                <w:szCs w:val="21"/>
              </w:rPr>
              <w:t>003</w:t>
            </w:r>
            <w:r>
              <w:rPr>
                <w:rFonts w:hint="eastAsia" w:cs="Times New Roman"/>
                <w:szCs w:val="21"/>
              </w:rPr>
              <w:t>年建成，建设时间较早，未开展环境影响评价及竣工环保验收。原有项目整体情况如下：</w:t>
            </w:r>
          </w:p>
          <w:p>
            <w:pPr>
              <w:spacing w:line="360" w:lineRule="auto"/>
              <w:ind w:firstLine="420" w:firstLineChars="200"/>
              <w:rPr>
                <w:rFonts w:cs="Times New Roman"/>
                <w:szCs w:val="21"/>
              </w:rPr>
            </w:pPr>
            <w:r>
              <w:rPr>
                <w:rFonts w:hint="eastAsia" w:cs="Times New Roman"/>
                <w:szCs w:val="21"/>
              </w:rPr>
              <w:t>110kV民盐1292线从220kV民谊变起至110kV盐官变止。该段线路全长10.999km，其中单回路长度10.170km，双回路长度0.829km；杆塔总基数：53基，其中双回路耐张塔3基，双回路直线塔1基，双回路耐张钢管杆2基，双回路直线钢管杆2基，单回路耐张塔19基，单回路直线塔26基。线路投运于2003-5-21。</w:t>
            </w:r>
          </w:p>
          <w:p>
            <w:pPr>
              <w:spacing w:line="360" w:lineRule="auto"/>
              <w:ind w:firstLine="420" w:firstLineChars="200"/>
              <w:rPr>
                <w:rFonts w:cs="Times New Roman"/>
                <w:szCs w:val="21"/>
              </w:rPr>
            </w:pPr>
            <w:r>
              <w:rPr>
                <w:rFonts w:hint="eastAsia" w:cs="Times New Roman"/>
                <w:szCs w:val="21"/>
              </w:rPr>
              <w:t>（1）双回路架设：民谊变～#3为双回路架空线路，线路长度为0.261km，面盐官变本线路在右侧，左侧为备用线；</w:t>
            </w:r>
          </w:p>
          <w:p>
            <w:pPr>
              <w:spacing w:line="360" w:lineRule="auto"/>
              <w:ind w:firstLine="420" w:firstLineChars="200"/>
              <w:rPr>
                <w:rFonts w:cs="Times New Roman"/>
                <w:szCs w:val="21"/>
              </w:rPr>
            </w:pPr>
            <w:r>
              <w:rPr>
                <w:rFonts w:hint="eastAsia" w:cs="Times New Roman"/>
                <w:szCs w:val="21"/>
              </w:rPr>
              <w:t>（2）单回路架设：#3～#49为单回路架空线路，线路长度为10.170km；</w:t>
            </w:r>
          </w:p>
          <w:p>
            <w:pPr>
              <w:spacing w:line="360" w:lineRule="auto"/>
              <w:ind w:firstLine="420" w:firstLineChars="200"/>
              <w:rPr>
                <w:rFonts w:cs="Times New Roman"/>
                <w:szCs w:val="21"/>
              </w:rPr>
            </w:pPr>
            <w:r>
              <w:rPr>
                <w:rFonts w:hint="eastAsia" w:cs="Times New Roman"/>
                <w:szCs w:val="21"/>
              </w:rPr>
              <w:t>（3）双回路架设：#49～盐官变为双回路架空线路，线路长度为0.568km，面盐官变本线路在右侧，左侧为祝盐1562线。</w:t>
            </w:r>
          </w:p>
          <w:p>
            <w:pPr>
              <w:spacing w:line="360" w:lineRule="auto"/>
              <w:ind w:firstLine="420" w:firstLineChars="200"/>
              <w:rPr>
                <w:rFonts w:cs="Times New Roman"/>
                <w:szCs w:val="21"/>
              </w:rPr>
            </w:pPr>
            <w:r>
              <w:rPr>
                <w:rFonts w:hint="eastAsia" w:cs="Times New Roman"/>
                <w:szCs w:val="21"/>
              </w:rPr>
              <w:t>为回顾原有线路环境影响，本次环评对原有线路沿线噪声、电磁等进行了现状监测，监测结果如下：</w:t>
            </w:r>
          </w:p>
          <w:p>
            <w:pPr>
              <w:pStyle w:val="24"/>
              <w:ind w:firstLine="420"/>
              <w:rPr>
                <w:rFonts w:cs="Times New Roman"/>
              </w:rPr>
            </w:pPr>
            <w:r>
              <w:rPr>
                <w:rFonts w:hint="eastAsia" w:cs="Times New Roman"/>
                <w:szCs w:val="21"/>
              </w:rPr>
              <w:t>（</w:t>
            </w:r>
            <w:r>
              <w:rPr>
                <w:rFonts w:cs="Times New Roman"/>
                <w:szCs w:val="21"/>
              </w:rPr>
              <w:t>1</w:t>
            </w:r>
            <w:r>
              <w:rPr>
                <w:rFonts w:hint="eastAsia" w:cs="Times New Roman"/>
                <w:szCs w:val="21"/>
              </w:rPr>
              <w:t>）根据现状监测，受原有线路环境影响的范家埭</w:t>
            </w:r>
            <w:r>
              <w:rPr>
                <w:rFonts w:cs="Times New Roman"/>
                <w:szCs w:val="21"/>
              </w:rPr>
              <w:t>15</w:t>
            </w:r>
            <w:r>
              <w:rPr>
                <w:rFonts w:hint="eastAsia" w:cs="Times New Roman"/>
                <w:szCs w:val="21"/>
              </w:rPr>
              <w:t>号民房、范家埭</w:t>
            </w:r>
            <w:r>
              <w:rPr>
                <w:rFonts w:cs="Times New Roman"/>
                <w:szCs w:val="21"/>
              </w:rPr>
              <w:t>39</w:t>
            </w:r>
            <w:r>
              <w:rPr>
                <w:rFonts w:hint="eastAsia" w:cs="Times New Roman"/>
                <w:szCs w:val="21"/>
              </w:rPr>
              <w:t>号民房处声环境质量能够满足《声环境质量标准》（</w:t>
            </w:r>
            <w:r>
              <w:rPr>
                <w:rFonts w:cs="Times New Roman"/>
                <w:szCs w:val="21"/>
              </w:rPr>
              <w:t>GB 3096-2008</w:t>
            </w:r>
            <w:r>
              <w:rPr>
                <w:rFonts w:hint="eastAsia" w:cs="Times New Roman"/>
                <w:szCs w:val="21"/>
              </w:rPr>
              <w:t>）</w:t>
            </w:r>
            <w:r>
              <w:rPr>
                <w:rFonts w:cs="Times New Roman"/>
                <w:szCs w:val="21"/>
              </w:rPr>
              <w:t>2</w:t>
            </w:r>
            <w:r>
              <w:rPr>
                <w:rFonts w:hint="eastAsia" w:cs="Times New Roman"/>
                <w:szCs w:val="21"/>
              </w:rPr>
              <w:t>类标准要求；原有线路</w:t>
            </w:r>
            <w:r>
              <w:rPr>
                <w:rFonts w:hint="eastAsia" w:cs="Times New Roman"/>
              </w:rPr>
              <w:t>对地投影外</w:t>
            </w:r>
            <w:r>
              <w:rPr>
                <w:rFonts w:cs="Times New Roman"/>
              </w:rPr>
              <w:t>0~50m</w:t>
            </w:r>
            <w:r>
              <w:rPr>
                <w:rFonts w:hint="eastAsia" w:cs="Times New Roman"/>
              </w:rPr>
              <w:t>内</w:t>
            </w:r>
            <w:r>
              <w:rPr>
                <w:rFonts w:hint="eastAsia" w:cs="Times New Roman"/>
                <w:szCs w:val="21"/>
              </w:rPr>
              <w:t>及敏感点处</w:t>
            </w:r>
            <w:r>
              <w:rPr>
                <w:rFonts w:hint="eastAsia" w:cs="Times New Roman"/>
              </w:rPr>
              <w:t>的昼间噪声监测值为</w:t>
            </w:r>
            <w:r>
              <w:rPr>
                <w:rFonts w:cs="Times New Roman"/>
              </w:rPr>
              <w:t>52.3dB</w:t>
            </w:r>
            <w:r>
              <w:rPr>
                <w:rFonts w:hint="eastAsia" w:cs="Times New Roman"/>
              </w:rPr>
              <w:t>（</w:t>
            </w:r>
            <w:r>
              <w:rPr>
                <w:rFonts w:cs="Times New Roman"/>
              </w:rPr>
              <w:t>A</w:t>
            </w:r>
            <w:r>
              <w:rPr>
                <w:rFonts w:hint="eastAsia" w:cs="Times New Roman"/>
              </w:rPr>
              <w:t>）</w:t>
            </w:r>
            <w:r>
              <w:rPr>
                <w:rFonts w:cs="Times New Roman"/>
              </w:rPr>
              <w:t>~56.5dB</w:t>
            </w:r>
            <w:r>
              <w:rPr>
                <w:rFonts w:hint="eastAsia" w:cs="Times New Roman"/>
              </w:rPr>
              <w:t>（</w:t>
            </w:r>
            <w:r>
              <w:rPr>
                <w:rFonts w:cs="Times New Roman"/>
              </w:rPr>
              <w:t>A</w:t>
            </w:r>
            <w:r>
              <w:rPr>
                <w:rFonts w:hint="eastAsia" w:cs="Times New Roman"/>
              </w:rPr>
              <w:t>），夜间噪声监测值为</w:t>
            </w:r>
            <w:r>
              <w:rPr>
                <w:rFonts w:cs="Times New Roman"/>
              </w:rPr>
              <w:t>43.3dB</w:t>
            </w:r>
            <w:r>
              <w:rPr>
                <w:rFonts w:hint="eastAsia" w:cs="Times New Roman"/>
              </w:rPr>
              <w:t>（</w:t>
            </w:r>
            <w:r>
              <w:rPr>
                <w:rFonts w:cs="Times New Roman"/>
              </w:rPr>
              <w:t>A</w:t>
            </w:r>
            <w:r>
              <w:rPr>
                <w:rFonts w:hint="eastAsia" w:cs="Times New Roman"/>
              </w:rPr>
              <w:t>）</w:t>
            </w:r>
            <w:r>
              <w:rPr>
                <w:rFonts w:cs="Times New Roman"/>
              </w:rPr>
              <w:t>~47.5dB</w:t>
            </w:r>
            <w:r>
              <w:rPr>
                <w:rFonts w:hint="eastAsia" w:cs="Times New Roman"/>
              </w:rPr>
              <w:t>（</w:t>
            </w:r>
            <w:r>
              <w:rPr>
                <w:rFonts w:cs="Times New Roman"/>
              </w:rPr>
              <w:t>A</w:t>
            </w:r>
            <w:r>
              <w:rPr>
                <w:rFonts w:hint="eastAsia" w:cs="Times New Roman"/>
              </w:rPr>
              <w:t>），线路周围声环境满足《声环境质量标准》（</w:t>
            </w:r>
            <w:r>
              <w:rPr>
                <w:rFonts w:cs="Times New Roman"/>
              </w:rPr>
              <w:t>GB3096-2008</w:t>
            </w:r>
            <w:r>
              <w:rPr>
                <w:rFonts w:hint="eastAsia" w:cs="Times New Roman"/>
              </w:rPr>
              <w:t>）中</w:t>
            </w:r>
            <w:r>
              <w:rPr>
                <w:rFonts w:cs="Times New Roman"/>
              </w:rPr>
              <w:t>2</w:t>
            </w:r>
            <w:r>
              <w:rPr>
                <w:rFonts w:hint="eastAsia" w:cs="Times New Roman"/>
              </w:rPr>
              <w:t>类标准（昼间</w:t>
            </w:r>
            <w:r>
              <w:rPr>
                <w:rFonts w:cs="Times New Roman"/>
              </w:rPr>
              <w:t>60dB</w:t>
            </w:r>
            <w:r>
              <w:rPr>
                <w:rFonts w:hint="eastAsia" w:cs="Times New Roman"/>
              </w:rPr>
              <w:t>（</w:t>
            </w:r>
            <w:r>
              <w:rPr>
                <w:rFonts w:cs="Times New Roman"/>
              </w:rPr>
              <w:t>A</w:t>
            </w:r>
            <w:r>
              <w:rPr>
                <w:rFonts w:hint="eastAsia" w:cs="Times New Roman"/>
              </w:rPr>
              <w:t>），夜间</w:t>
            </w:r>
            <w:r>
              <w:rPr>
                <w:rFonts w:cs="Times New Roman"/>
              </w:rPr>
              <w:t>50dB</w:t>
            </w:r>
            <w:r>
              <w:rPr>
                <w:rFonts w:hint="eastAsia" w:cs="Times New Roman"/>
              </w:rPr>
              <w:t>（</w:t>
            </w:r>
            <w:r>
              <w:rPr>
                <w:rFonts w:cs="Times New Roman"/>
              </w:rPr>
              <w:t>A</w:t>
            </w:r>
            <w:r>
              <w:rPr>
                <w:rFonts w:hint="eastAsia" w:cs="Times New Roman"/>
              </w:rPr>
              <w:t>））要求。</w:t>
            </w:r>
          </w:p>
          <w:p>
            <w:pPr>
              <w:pStyle w:val="24"/>
              <w:ind w:firstLine="420"/>
            </w:pPr>
            <w:r>
              <w:rPr>
                <w:rFonts w:hint="eastAsia" w:cs="Times New Roman"/>
              </w:rPr>
              <w:t>（</w:t>
            </w:r>
            <w:r>
              <w:rPr>
                <w:rFonts w:cs="Times New Roman"/>
              </w:rPr>
              <w:t>2</w:t>
            </w:r>
            <w:r>
              <w:rPr>
                <w:rFonts w:hint="eastAsia" w:cs="Times New Roman"/>
              </w:rPr>
              <w:t>）</w:t>
            </w:r>
            <w:r>
              <w:rPr>
                <w:rFonts w:hint="eastAsia" w:cs="Times New Roman"/>
                <w:szCs w:val="21"/>
              </w:rPr>
              <w:t>根据现状监测，受原有线路环境影响的范家埭</w:t>
            </w:r>
            <w:r>
              <w:rPr>
                <w:rFonts w:cs="Times New Roman"/>
                <w:szCs w:val="21"/>
              </w:rPr>
              <w:t>15</w:t>
            </w:r>
            <w:r>
              <w:rPr>
                <w:rFonts w:hint="eastAsia" w:cs="Times New Roman"/>
                <w:szCs w:val="21"/>
              </w:rPr>
              <w:t>号民房、范家埭</w:t>
            </w:r>
            <w:r>
              <w:rPr>
                <w:rFonts w:cs="Times New Roman"/>
                <w:szCs w:val="21"/>
              </w:rPr>
              <w:t>39</w:t>
            </w:r>
            <w:r>
              <w:rPr>
                <w:rFonts w:hint="eastAsia" w:cs="Times New Roman"/>
                <w:szCs w:val="21"/>
              </w:rPr>
              <w:t>号民房处工频电场强度监测值在</w:t>
            </w:r>
            <w:r>
              <w:rPr>
                <w:rFonts w:cs="Times New Roman"/>
                <w:szCs w:val="21"/>
              </w:rPr>
              <w:t>2.535V/m~2.693V/m</w:t>
            </w:r>
            <w:r>
              <w:rPr>
                <w:rFonts w:hint="eastAsia" w:cs="Times New Roman"/>
                <w:szCs w:val="21"/>
              </w:rPr>
              <w:t>之间、工频磁感应强度监测值在</w:t>
            </w:r>
            <w:r>
              <w:rPr>
                <w:rFonts w:cs="Times New Roman"/>
                <w:szCs w:val="21"/>
              </w:rPr>
              <w:t>0.1765μT~0.1809μT</w:t>
            </w:r>
            <w:r>
              <w:rPr>
                <w:rFonts w:hint="eastAsia" w:cs="Times New Roman"/>
                <w:szCs w:val="21"/>
              </w:rPr>
              <w:t>之间，分别可满足《电磁环境控制限值》（</w:t>
            </w:r>
            <w:r>
              <w:rPr>
                <w:rFonts w:cs="Times New Roman"/>
                <w:szCs w:val="21"/>
              </w:rPr>
              <w:t>GB 8702-2014</w:t>
            </w:r>
            <w:r>
              <w:rPr>
                <w:rFonts w:hint="eastAsia" w:cs="Times New Roman"/>
                <w:szCs w:val="21"/>
              </w:rPr>
              <w:t>）中工频电场强度</w:t>
            </w:r>
            <w:r>
              <w:rPr>
                <w:rFonts w:cs="Times New Roman"/>
                <w:szCs w:val="21"/>
              </w:rPr>
              <w:t>4kV/m</w:t>
            </w:r>
            <w:r>
              <w:rPr>
                <w:rFonts w:hint="eastAsia" w:cs="Times New Roman"/>
                <w:szCs w:val="21"/>
              </w:rPr>
              <w:t>、工频磁感应强度</w:t>
            </w:r>
            <w:r>
              <w:rPr>
                <w:rFonts w:cs="Times New Roman"/>
                <w:szCs w:val="21"/>
              </w:rPr>
              <w:t>100µT</w:t>
            </w:r>
            <w:r>
              <w:rPr>
                <w:rFonts w:hint="eastAsia" w:cs="Times New Roman"/>
                <w:szCs w:val="21"/>
              </w:rPr>
              <w:t>的公众曝露控制限值要求。原有线路对地投影下方0~</w:t>
            </w:r>
            <w:r>
              <w:rPr>
                <w:rFonts w:cs="Times New Roman"/>
                <w:szCs w:val="21"/>
              </w:rPr>
              <w:t>50</w:t>
            </w:r>
            <w:r>
              <w:rPr>
                <w:rFonts w:hint="eastAsia" w:cs="Times New Roman"/>
                <w:szCs w:val="21"/>
              </w:rPr>
              <w:t>m的</w:t>
            </w:r>
            <w:r>
              <w:rPr>
                <w:rFonts w:cs="Times New Roman"/>
                <w:szCs w:val="21"/>
              </w:rPr>
              <w:t>工频电场强度监测值在41.22V/m~1100V/m之间、工频磁感应强度监测值在0.1694μT~0.1861μT之间，分别可满足《电磁环境控制限值》（GB 8702-2014）中工频电场强度4kV/m、工频磁感应强度100µT的公众曝露控制限值要求。</w:t>
            </w:r>
          </w:p>
          <w:p>
            <w:pPr>
              <w:spacing w:line="360" w:lineRule="auto"/>
              <w:ind w:firstLine="420" w:firstLineChars="200"/>
              <w:rPr>
                <w:rFonts w:cs="Times New Roman"/>
                <w:szCs w:val="21"/>
              </w:rPr>
            </w:pPr>
            <w:r>
              <w:rPr>
                <w:rFonts w:hint="eastAsia" w:cs="Times New Roman"/>
                <w:szCs w:val="21"/>
              </w:rPr>
              <w:t>根据现场调查和原有项目的噪声、电磁现状监测，未发现与项目有关的原有环境污染和生态破坏问题。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802" w:hRule="atLeast"/>
          <w:jc w:val="center"/>
        </w:trPr>
        <w:tc>
          <w:tcPr>
            <w:tcW w:w="402" w:type="dxa"/>
            <w:vAlign w:val="center"/>
          </w:tcPr>
          <w:p>
            <w:pPr>
              <w:adjustRightInd w:val="0"/>
              <w:snapToGrid w:val="0"/>
              <w:jc w:val="center"/>
              <w:rPr>
                <w:rFonts w:eastAsia="黑体" w:cs="Times New Roman"/>
                <w:kern w:val="0"/>
                <w:szCs w:val="21"/>
                <w:highlight w:val="yellow"/>
              </w:rPr>
            </w:pPr>
            <w:r>
              <w:rPr>
                <w:rFonts w:eastAsia="黑体" w:cs="Times New Roman"/>
                <w:kern w:val="0"/>
                <w:szCs w:val="21"/>
              </w:rPr>
              <w:t>生态环境保护目标</w:t>
            </w:r>
          </w:p>
        </w:tc>
        <w:tc>
          <w:tcPr>
            <w:tcW w:w="8755" w:type="dxa"/>
          </w:tcPr>
          <w:p>
            <w:pPr>
              <w:pStyle w:val="32"/>
              <w:keepLines/>
              <w:numPr>
                <w:ilvl w:val="0"/>
                <w:numId w:val="6"/>
              </w:numPr>
              <w:spacing w:line="360" w:lineRule="auto"/>
              <w:ind w:firstLineChars="0"/>
              <w:outlineLvl w:val="1"/>
              <w:rPr>
                <w:rFonts w:eastAsia="黑体" w:cs="Times New Roman"/>
                <w:bCs/>
                <w:szCs w:val="32"/>
              </w:rPr>
            </w:pPr>
            <w:r>
              <w:rPr>
                <w:rFonts w:eastAsia="黑体" w:cs="Times New Roman"/>
                <w:bCs/>
                <w:szCs w:val="32"/>
              </w:rPr>
              <w:t>环境敏感区</w:t>
            </w:r>
          </w:p>
          <w:p>
            <w:pPr>
              <w:keepLines/>
              <w:spacing w:line="360" w:lineRule="auto"/>
              <w:ind w:firstLine="420" w:firstLineChars="200"/>
              <w:outlineLvl w:val="1"/>
              <w:rPr>
                <w:rFonts w:cs="Times New Roman"/>
                <w:szCs w:val="21"/>
              </w:rPr>
            </w:pPr>
            <w:r>
              <w:rPr>
                <w:rFonts w:cs="Times New Roman"/>
                <w:szCs w:val="21"/>
              </w:rPr>
              <w:t>根据现场调查，本</w:t>
            </w:r>
            <w:r>
              <w:rPr>
                <w:rFonts w:hint="eastAsia" w:cs="Times New Roman"/>
                <w:szCs w:val="21"/>
              </w:rPr>
              <w:t>项目拟建</w:t>
            </w:r>
            <w:r>
              <w:rPr>
                <w:rFonts w:cs="Times New Roman"/>
                <w:szCs w:val="21"/>
              </w:rPr>
              <w:t>输电线路不涉及国家公园、自然保护区、</w:t>
            </w:r>
            <w:r>
              <w:rPr>
                <w:rFonts w:hint="eastAsia" w:cs="Times New Roman"/>
                <w:szCs w:val="21"/>
              </w:rPr>
              <w:t>风景名胜区</w:t>
            </w:r>
            <w:r>
              <w:rPr>
                <w:rFonts w:cs="Times New Roman"/>
                <w:szCs w:val="21"/>
              </w:rPr>
              <w:t>、世界</w:t>
            </w:r>
            <w:r>
              <w:rPr>
                <w:rFonts w:hint="eastAsia" w:cs="Times New Roman"/>
                <w:szCs w:val="21"/>
              </w:rPr>
              <w:t>文化和</w:t>
            </w:r>
            <w:r>
              <w:rPr>
                <w:rFonts w:cs="Times New Roman"/>
                <w:szCs w:val="21"/>
              </w:rPr>
              <w:t>自然遗产</w:t>
            </w:r>
            <w:r>
              <w:rPr>
                <w:rFonts w:hint="eastAsia" w:cs="Times New Roman"/>
                <w:szCs w:val="21"/>
              </w:rPr>
              <w:t>地</w:t>
            </w:r>
            <w:r>
              <w:rPr>
                <w:rFonts w:cs="Times New Roman"/>
                <w:szCs w:val="21"/>
              </w:rPr>
              <w:t>、饮用水水源保护区等环境敏感区。</w:t>
            </w:r>
          </w:p>
          <w:p>
            <w:pPr>
              <w:pStyle w:val="32"/>
              <w:keepLines/>
              <w:numPr>
                <w:ilvl w:val="0"/>
                <w:numId w:val="6"/>
              </w:numPr>
              <w:spacing w:line="360" w:lineRule="auto"/>
              <w:ind w:firstLineChars="0"/>
              <w:outlineLvl w:val="1"/>
              <w:rPr>
                <w:rFonts w:eastAsia="黑体" w:cs="Times New Roman"/>
                <w:bCs/>
                <w:szCs w:val="32"/>
              </w:rPr>
            </w:pPr>
            <w:r>
              <w:rPr>
                <w:rFonts w:eastAsia="黑体" w:cs="Times New Roman"/>
                <w:bCs/>
                <w:szCs w:val="32"/>
              </w:rPr>
              <w:t>环境敏感目标</w:t>
            </w:r>
          </w:p>
          <w:p>
            <w:pPr>
              <w:pStyle w:val="5"/>
              <w:numPr>
                <w:ilvl w:val="1"/>
                <w:numId w:val="0"/>
              </w:numPr>
              <w:rPr>
                <w:color w:val="auto"/>
              </w:rPr>
            </w:pPr>
            <w:r>
              <w:rPr>
                <w:color w:val="auto"/>
              </w:rPr>
              <w:t>8.1  电磁环境</w:t>
            </w:r>
          </w:p>
          <w:p>
            <w:pPr>
              <w:keepLines/>
              <w:spacing w:line="360" w:lineRule="auto"/>
              <w:ind w:firstLine="420" w:firstLineChars="200"/>
              <w:outlineLvl w:val="1"/>
              <w:rPr>
                <w:rFonts w:cs="Times New Roman"/>
                <w:szCs w:val="21"/>
              </w:rPr>
            </w:pPr>
            <w:r>
              <w:rPr>
                <w:rFonts w:cs="Times New Roman"/>
                <w:szCs w:val="21"/>
              </w:rPr>
              <w:t>电磁环境敏感目标主要为住宅、学校、医院、办公楼、工厂等有公众居住、工作或学习的建筑物</w:t>
            </w:r>
            <w:r>
              <w:rPr>
                <w:rFonts w:hint="eastAsia" w:cs="Times New Roman"/>
                <w:szCs w:val="21"/>
              </w:rPr>
              <w:t>。经调查，本项目周边电磁环境敏感目标为</w:t>
            </w:r>
            <w:r>
              <w:rPr>
                <w:rFonts w:cs="Times New Roman"/>
                <w:szCs w:val="21"/>
              </w:rPr>
              <w:t>2</w:t>
            </w:r>
            <w:r>
              <w:rPr>
                <w:rFonts w:hint="eastAsia" w:cs="Times New Roman"/>
                <w:szCs w:val="21"/>
              </w:rPr>
              <w:t>处</w:t>
            </w:r>
            <w:r>
              <w:rPr>
                <w:rFonts w:cs="Times New Roman"/>
                <w:szCs w:val="21"/>
              </w:rPr>
              <w:t>住宅</w:t>
            </w:r>
            <w:r>
              <w:rPr>
                <w:rFonts w:hint="eastAsia"/>
                <w:szCs w:val="21"/>
              </w:rPr>
              <w:t>。</w:t>
            </w:r>
            <w:r>
              <w:rPr>
                <w:rFonts w:cs="Times New Roman"/>
                <w:szCs w:val="21"/>
              </w:rPr>
              <w:t>电磁</w:t>
            </w:r>
            <w:r>
              <w:rPr>
                <w:rFonts w:hint="eastAsia" w:cs="Times New Roman"/>
                <w:szCs w:val="21"/>
              </w:rPr>
              <w:t>环境</w:t>
            </w:r>
            <w:r>
              <w:rPr>
                <w:rFonts w:cs="Times New Roman"/>
                <w:szCs w:val="21"/>
              </w:rPr>
              <w:t>敏感目标情况详见表3.8-1。本</w:t>
            </w:r>
            <w:r>
              <w:rPr>
                <w:rFonts w:hint="eastAsia" w:cs="Times New Roman"/>
                <w:szCs w:val="21"/>
              </w:rPr>
              <w:t>项目</w:t>
            </w:r>
            <w:r>
              <w:rPr>
                <w:rFonts w:cs="Times New Roman"/>
                <w:szCs w:val="21"/>
              </w:rPr>
              <w:t>与周边电磁环境敏感目标的位置关系示意图见附图8。</w:t>
            </w:r>
          </w:p>
          <w:p>
            <w:pPr>
              <w:pStyle w:val="5"/>
              <w:numPr>
                <w:ilvl w:val="1"/>
                <w:numId w:val="0"/>
              </w:numPr>
              <w:rPr>
                <w:rFonts w:eastAsia="宋体"/>
                <w:color w:val="auto"/>
                <w:szCs w:val="21"/>
              </w:rPr>
            </w:pPr>
            <w:r>
              <w:rPr>
                <w:bCs w:val="0"/>
                <w:color w:val="auto"/>
              </w:rPr>
              <w:t>8.2  声环境</w:t>
            </w:r>
          </w:p>
          <w:p>
            <w:pPr>
              <w:keepLines/>
              <w:spacing w:line="360" w:lineRule="auto"/>
              <w:ind w:firstLine="420" w:firstLineChars="200"/>
              <w:outlineLvl w:val="1"/>
              <w:rPr>
                <w:rFonts w:cs="Times New Roman"/>
                <w:szCs w:val="21"/>
              </w:rPr>
            </w:pPr>
            <w:r>
              <w:rPr>
                <w:rFonts w:cs="Times New Roman"/>
                <w:szCs w:val="21"/>
              </w:rPr>
              <w:t>噪声敏感建筑物，是指用于居住、科学研究、医疗卫生、文化教育、机关团体办公、社会福利等需要保持安静的建筑物。</w:t>
            </w:r>
            <w:r>
              <w:rPr>
                <w:rFonts w:hint="eastAsia" w:cs="Times New Roman"/>
                <w:szCs w:val="21"/>
              </w:rPr>
              <w:t>经调查，</w:t>
            </w:r>
            <w:r>
              <w:rPr>
                <w:rFonts w:cs="Times New Roman"/>
                <w:szCs w:val="21"/>
              </w:rPr>
              <w:t>本</w:t>
            </w:r>
            <w:r>
              <w:rPr>
                <w:rFonts w:hint="eastAsia" w:cs="Times New Roman"/>
                <w:szCs w:val="21"/>
              </w:rPr>
              <w:t>项目拟建输电线路评价范围内声环境敏感目标为</w:t>
            </w:r>
            <w:r>
              <w:rPr>
                <w:rFonts w:cs="Times New Roman"/>
                <w:szCs w:val="21"/>
              </w:rPr>
              <w:t>2</w:t>
            </w:r>
            <w:r>
              <w:rPr>
                <w:rFonts w:hint="eastAsia" w:cs="Times New Roman"/>
                <w:szCs w:val="21"/>
              </w:rPr>
              <w:t>处</w:t>
            </w:r>
            <w:r>
              <w:rPr>
                <w:rFonts w:cs="Times New Roman"/>
                <w:szCs w:val="21"/>
              </w:rPr>
              <w:t>住宅</w:t>
            </w:r>
            <w:r>
              <w:rPr>
                <w:rFonts w:hint="eastAsia"/>
                <w:szCs w:val="21"/>
              </w:rPr>
              <w:t>。</w:t>
            </w:r>
          </w:p>
          <w:p>
            <w:pPr>
              <w:pStyle w:val="5"/>
              <w:numPr>
                <w:ilvl w:val="1"/>
                <w:numId w:val="0"/>
              </w:numPr>
              <w:rPr>
                <w:bCs w:val="0"/>
                <w:color w:val="auto"/>
              </w:rPr>
            </w:pPr>
            <w:r>
              <w:rPr>
                <w:bCs w:val="0"/>
                <w:color w:val="auto"/>
              </w:rPr>
              <w:t>8.3  生态环境</w:t>
            </w:r>
          </w:p>
          <w:p>
            <w:pPr>
              <w:keepLines/>
              <w:spacing w:line="360" w:lineRule="auto"/>
              <w:ind w:firstLine="420" w:firstLineChars="200"/>
              <w:outlineLvl w:val="1"/>
              <w:rPr>
                <w:highlight w:val="yellow"/>
              </w:rPr>
            </w:pPr>
            <w:r>
              <w:rPr>
                <w:rFonts w:cs="Times New Roman"/>
                <w:szCs w:val="21"/>
              </w:rPr>
              <w:t>本工程</w:t>
            </w:r>
            <w:r>
              <w:rPr>
                <w:rFonts w:hint="eastAsia" w:cs="Times New Roman"/>
                <w:szCs w:val="21"/>
              </w:rPr>
              <w:t>不涉及《环境影响评价技术导则 生态影响》（</w:t>
            </w:r>
            <w:r>
              <w:rPr>
                <w:rFonts w:cs="Times New Roman"/>
                <w:szCs w:val="21"/>
              </w:rPr>
              <w:t>HJ19-2022</w:t>
            </w:r>
            <w:r>
              <w:rPr>
                <w:rFonts w:hint="eastAsia" w:cs="Times New Roman"/>
                <w:szCs w:val="21"/>
              </w:rPr>
              <w:t>）中规定的法定生态保护区与重要生境以及其他具有重要生态功能、对保护生物多样性具有重要意义的区域</w:t>
            </w:r>
            <w:r>
              <w:rPr>
                <w:rFonts w:hint="eastAsia"/>
              </w:rPr>
              <w:t>。</w:t>
            </w:r>
          </w:p>
        </w:tc>
      </w:tr>
    </w:tbl>
    <w:p>
      <w:pPr>
        <w:rPr>
          <w:rFonts w:cs="Times New Roman"/>
          <w:highlight w:val="yellow"/>
        </w:rPr>
        <w:sectPr>
          <w:pgSz w:w="11906" w:h="16838"/>
          <w:pgMar w:top="1418" w:right="1418" w:bottom="1418" w:left="1418" w:header="851" w:footer="992" w:gutter="0"/>
          <w:cols w:space="425" w:num="1"/>
          <w:docGrid w:type="lines" w:linePitch="312" w:charSpace="0"/>
        </w:sectPr>
      </w:pPr>
    </w:p>
    <w:p>
      <w:pPr>
        <w:pStyle w:val="53"/>
        <w:rPr>
          <w:szCs w:val="18"/>
        </w:rPr>
      </w:pPr>
      <w:r>
        <w:rPr>
          <w:szCs w:val="18"/>
        </w:rPr>
        <w:t xml:space="preserve">表3.8-1    </w:t>
      </w:r>
      <w:r>
        <w:rPr>
          <w:rFonts w:hint="eastAsia"/>
          <w:szCs w:val="18"/>
        </w:rPr>
        <w:t>工程</w:t>
      </w:r>
      <w:r>
        <w:rPr>
          <w:szCs w:val="18"/>
        </w:rPr>
        <w:t>电磁环境和声环境保护目标情况一览表</w:t>
      </w:r>
    </w:p>
    <w:tbl>
      <w:tblPr>
        <w:tblStyle w:val="25"/>
        <w:tblW w:w="4867"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236"/>
        <w:gridCol w:w="1318"/>
        <w:gridCol w:w="851"/>
        <w:gridCol w:w="903"/>
        <w:gridCol w:w="2383"/>
        <w:gridCol w:w="569"/>
        <w:gridCol w:w="1139"/>
        <w:gridCol w:w="1281"/>
        <w:gridCol w:w="946"/>
        <w:gridCol w:w="461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0" w:hRule="atLeast"/>
          <w:tblHeader/>
        </w:trPr>
        <w:tc>
          <w:tcPr>
            <w:tcW w:w="83" w:type="pct"/>
            <w:vAlign w:val="center"/>
          </w:tcPr>
          <w:p>
            <w:pPr>
              <w:widowControl/>
              <w:jc w:val="center"/>
              <w:rPr>
                <w:rFonts w:cs="Times New Roman"/>
                <w:sz w:val="18"/>
                <w:szCs w:val="18"/>
              </w:rPr>
            </w:pPr>
            <w:r>
              <w:rPr>
                <w:rFonts w:cs="Times New Roman"/>
                <w:sz w:val="18"/>
                <w:szCs w:val="18"/>
              </w:rPr>
              <w:t>序号</w:t>
            </w:r>
          </w:p>
        </w:tc>
        <w:tc>
          <w:tcPr>
            <w:tcW w:w="463" w:type="pct"/>
            <w:vAlign w:val="center"/>
          </w:tcPr>
          <w:p>
            <w:pPr>
              <w:widowControl/>
              <w:jc w:val="center"/>
              <w:rPr>
                <w:rFonts w:cs="Times New Roman"/>
                <w:sz w:val="18"/>
                <w:szCs w:val="18"/>
              </w:rPr>
            </w:pPr>
            <w:r>
              <w:rPr>
                <w:rFonts w:cs="Times New Roman"/>
                <w:sz w:val="18"/>
                <w:szCs w:val="18"/>
              </w:rPr>
              <w:t>所属工程</w:t>
            </w:r>
          </w:p>
        </w:tc>
        <w:tc>
          <w:tcPr>
            <w:tcW w:w="299" w:type="pct"/>
            <w:vAlign w:val="center"/>
          </w:tcPr>
          <w:p>
            <w:pPr>
              <w:widowControl/>
              <w:jc w:val="center"/>
              <w:rPr>
                <w:rFonts w:cs="Times New Roman"/>
                <w:sz w:val="18"/>
                <w:szCs w:val="18"/>
              </w:rPr>
            </w:pPr>
            <w:r>
              <w:rPr>
                <w:rFonts w:cs="Times New Roman"/>
                <w:sz w:val="18"/>
                <w:szCs w:val="18"/>
              </w:rPr>
              <w:t>所属</w:t>
            </w:r>
          </w:p>
          <w:p>
            <w:pPr>
              <w:widowControl/>
              <w:jc w:val="center"/>
              <w:rPr>
                <w:rFonts w:cs="Times New Roman"/>
                <w:sz w:val="18"/>
                <w:szCs w:val="18"/>
              </w:rPr>
            </w:pPr>
            <w:r>
              <w:rPr>
                <w:rFonts w:cs="Times New Roman"/>
                <w:sz w:val="18"/>
                <w:szCs w:val="18"/>
              </w:rPr>
              <w:t>行政区域</w:t>
            </w:r>
          </w:p>
        </w:tc>
        <w:tc>
          <w:tcPr>
            <w:tcW w:w="317" w:type="pct"/>
            <w:vAlign w:val="center"/>
          </w:tcPr>
          <w:p>
            <w:pPr>
              <w:widowControl/>
              <w:jc w:val="center"/>
              <w:rPr>
                <w:rFonts w:cs="Times New Roman"/>
                <w:sz w:val="18"/>
                <w:szCs w:val="18"/>
              </w:rPr>
            </w:pPr>
            <w:r>
              <w:rPr>
                <w:rFonts w:cs="Times New Roman"/>
                <w:sz w:val="18"/>
                <w:szCs w:val="18"/>
              </w:rPr>
              <w:t>地址/名称</w:t>
            </w:r>
          </w:p>
        </w:tc>
        <w:tc>
          <w:tcPr>
            <w:tcW w:w="837" w:type="pct"/>
            <w:vAlign w:val="center"/>
          </w:tcPr>
          <w:p>
            <w:pPr>
              <w:widowControl/>
              <w:jc w:val="center"/>
              <w:rPr>
                <w:rFonts w:cs="Times New Roman"/>
                <w:sz w:val="18"/>
                <w:szCs w:val="18"/>
              </w:rPr>
            </w:pPr>
            <w:r>
              <w:rPr>
                <w:rFonts w:cs="Times New Roman"/>
                <w:sz w:val="18"/>
                <w:szCs w:val="18"/>
              </w:rPr>
              <w:t>最近敏感建筑物与本工程相对位置关系</w:t>
            </w:r>
          </w:p>
        </w:tc>
        <w:tc>
          <w:tcPr>
            <w:tcW w:w="200" w:type="pct"/>
            <w:vAlign w:val="center"/>
          </w:tcPr>
          <w:p>
            <w:pPr>
              <w:widowControl/>
              <w:jc w:val="center"/>
              <w:rPr>
                <w:rFonts w:cs="Times New Roman"/>
                <w:sz w:val="18"/>
                <w:szCs w:val="18"/>
              </w:rPr>
            </w:pPr>
            <w:r>
              <w:rPr>
                <w:rFonts w:cs="Times New Roman"/>
                <w:sz w:val="18"/>
                <w:szCs w:val="18"/>
              </w:rPr>
              <w:t>性质</w:t>
            </w:r>
          </w:p>
        </w:tc>
        <w:tc>
          <w:tcPr>
            <w:tcW w:w="400" w:type="pct"/>
            <w:vAlign w:val="center"/>
          </w:tcPr>
          <w:p>
            <w:pPr>
              <w:widowControl/>
              <w:jc w:val="center"/>
              <w:rPr>
                <w:rFonts w:cs="Times New Roman"/>
                <w:sz w:val="18"/>
                <w:szCs w:val="18"/>
              </w:rPr>
            </w:pPr>
            <w:r>
              <w:rPr>
                <w:rFonts w:cs="Times New Roman"/>
                <w:sz w:val="18"/>
                <w:szCs w:val="18"/>
              </w:rPr>
              <w:t>最近建筑结构</w:t>
            </w:r>
          </w:p>
        </w:tc>
        <w:tc>
          <w:tcPr>
            <w:tcW w:w="450" w:type="pct"/>
            <w:vAlign w:val="center"/>
          </w:tcPr>
          <w:p>
            <w:pPr>
              <w:widowControl/>
              <w:jc w:val="center"/>
              <w:rPr>
                <w:rFonts w:cs="Times New Roman"/>
                <w:sz w:val="18"/>
                <w:szCs w:val="18"/>
              </w:rPr>
            </w:pPr>
            <w:r>
              <w:rPr>
                <w:rFonts w:cs="Times New Roman"/>
                <w:sz w:val="18"/>
                <w:szCs w:val="18"/>
              </w:rPr>
              <w:t>评价范围</w:t>
            </w:r>
          </w:p>
          <w:p>
            <w:pPr>
              <w:widowControl/>
              <w:jc w:val="center"/>
              <w:rPr>
                <w:rFonts w:cs="Times New Roman"/>
                <w:sz w:val="18"/>
                <w:szCs w:val="18"/>
              </w:rPr>
            </w:pPr>
            <w:r>
              <w:rPr>
                <w:rFonts w:cs="Times New Roman"/>
                <w:sz w:val="18"/>
                <w:szCs w:val="18"/>
              </w:rPr>
              <w:t>内建筑物</w:t>
            </w:r>
            <w:r>
              <w:rPr>
                <w:rFonts w:hint="eastAsia" w:cs="Times New Roman"/>
                <w:sz w:val="18"/>
                <w:szCs w:val="18"/>
              </w:rPr>
              <w:t>数量</w:t>
            </w:r>
          </w:p>
        </w:tc>
        <w:tc>
          <w:tcPr>
            <w:tcW w:w="332" w:type="pct"/>
            <w:vAlign w:val="center"/>
          </w:tcPr>
          <w:p>
            <w:pPr>
              <w:widowControl/>
              <w:jc w:val="center"/>
              <w:rPr>
                <w:rFonts w:cs="Times New Roman"/>
                <w:sz w:val="18"/>
                <w:szCs w:val="18"/>
              </w:rPr>
            </w:pPr>
            <w:r>
              <w:rPr>
                <w:rFonts w:cs="Times New Roman"/>
                <w:sz w:val="18"/>
                <w:szCs w:val="18"/>
              </w:rPr>
              <w:t>环境保护要求</w:t>
            </w:r>
          </w:p>
        </w:tc>
        <w:tc>
          <w:tcPr>
            <w:tcW w:w="1619" w:type="pct"/>
            <w:vAlign w:val="center"/>
          </w:tcPr>
          <w:p>
            <w:pPr>
              <w:widowControl/>
              <w:jc w:val="center"/>
              <w:rPr>
                <w:rFonts w:cs="Times New Roman"/>
                <w:sz w:val="18"/>
                <w:szCs w:val="18"/>
              </w:rPr>
            </w:pPr>
            <w:r>
              <w:rPr>
                <w:rFonts w:cs="Times New Roman"/>
                <w:sz w:val="18"/>
                <w:szCs w:val="18"/>
              </w:rPr>
              <w:t>备注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726" w:hRule="atLeast"/>
        </w:trPr>
        <w:tc>
          <w:tcPr>
            <w:tcW w:w="83" w:type="pct"/>
            <w:vAlign w:val="center"/>
          </w:tcPr>
          <w:p>
            <w:pPr>
              <w:widowControl/>
              <w:jc w:val="center"/>
              <w:rPr>
                <w:rFonts w:cs="Times New Roman"/>
                <w:sz w:val="18"/>
                <w:szCs w:val="18"/>
                <w:highlight w:val="yellow"/>
              </w:rPr>
            </w:pPr>
            <w:r>
              <w:rPr>
                <w:rFonts w:cs="Times New Roman"/>
                <w:sz w:val="18"/>
                <w:szCs w:val="18"/>
              </w:rPr>
              <w:t>1</w:t>
            </w:r>
          </w:p>
        </w:tc>
        <w:tc>
          <w:tcPr>
            <w:tcW w:w="463" w:type="pct"/>
            <w:vMerge w:val="restart"/>
            <w:vAlign w:val="center"/>
          </w:tcPr>
          <w:p>
            <w:pPr>
              <w:widowControl/>
              <w:jc w:val="center"/>
              <w:rPr>
                <w:rFonts w:cs="Times New Roman"/>
                <w:sz w:val="18"/>
                <w:szCs w:val="21"/>
                <w:highlight w:val="yellow"/>
              </w:rPr>
            </w:pPr>
            <w:r>
              <w:rPr>
                <w:rFonts w:hint="eastAsia" w:cs="Times New Roman"/>
                <w:sz w:val="18"/>
                <w:szCs w:val="21"/>
              </w:rPr>
              <w:t>杭州机场高铁工程涉及输电线路改迁工程110kV民盐1292线20#-22#改迁工程</w:t>
            </w:r>
          </w:p>
        </w:tc>
        <w:tc>
          <w:tcPr>
            <w:tcW w:w="299" w:type="pct"/>
            <w:vMerge w:val="restart"/>
            <w:vAlign w:val="center"/>
          </w:tcPr>
          <w:p>
            <w:pPr>
              <w:widowControl/>
              <w:jc w:val="center"/>
              <w:rPr>
                <w:rFonts w:cs="Times New Roman"/>
                <w:sz w:val="18"/>
                <w:szCs w:val="18"/>
                <w:highlight w:val="yellow"/>
              </w:rPr>
            </w:pPr>
            <w:r>
              <w:rPr>
                <w:rFonts w:hint="eastAsia" w:cs="Times New Roman"/>
                <w:sz w:val="18"/>
                <w:szCs w:val="18"/>
              </w:rPr>
              <w:t>浙江省海宁市周王庙镇</w:t>
            </w:r>
          </w:p>
        </w:tc>
        <w:tc>
          <w:tcPr>
            <w:tcW w:w="317" w:type="pct"/>
            <w:vAlign w:val="center"/>
          </w:tcPr>
          <w:p>
            <w:pPr>
              <w:widowControl/>
              <w:jc w:val="center"/>
              <w:rPr>
                <w:rFonts w:cs="Times New Roman"/>
                <w:sz w:val="18"/>
                <w:szCs w:val="18"/>
              </w:rPr>
            </w:pPr>
            <w:r>
              <w:rPr>
                <w:rFonts w:hint="eastAsia" w:cs="Times New Roman"/>
                <w:sz w:val="18"/>
                <w:szCs w:val="18"/>
              </w:rPr>
              <w:t>范家埭</w:t>
            </w:r>
            <w:r>
              <w:rPr>
                <w:rFonts w:cs="Times New Roman"/>
                <w:sz w:val="18"/>
                <w:szCs w:val="18"/>
              </w:rPr>
              <w:t>39</w:t>
            </w:r>
            <w:r>
              <w:rPr>
                <w:rFonts w:hint="eastAsia" w:cs="Times New Roman"/>
                <w:sz w:val="18"/>
                <w:szCs w:val="18"/>
              </w:rPr>
              <w:t>号</w:t>
            </w:r>
          </w:p>
        </w:tc>
        <w:tc>
          <w:tcPr>
            <w:tcW w:w="837" w:type="pct"/>
            <w:vAlign w:val="center"/>
          </w:tcPr>
          <w:p>
            <w:pPr>
              <w:widowControl/>
              <w:jc w:val="center"/>
              <w:rPr>
                <w:rFonts w:cs="Times New Roman"/>
                <w:sz w:val="18"/>
                <w:szCs w:val="18"/>
                <w:highlight w:val="yellow"/>
              </w:rPr>
            </w:pPr>
            <w:r>
              <w:rPr>
                <w:rFonts w:hint="eastAsia" w:cs="Times New Roman"/>
                <w:sz w:val="18"/>
                <w:szCs w:val="18"/>
              </w:rPr>
              <w:t>位于新建及老线路东北侧，距边导线最近距离约</w:t>
            </w:r>
            <w:r>
              <w:rPr>
                <w:rFonts w:cs="Times New Roman"/>
                <w:sz w:val="18"/>
                <w:szCs w:val="18"/>
              </w:rPr>
              <w:t>22</w:t>
            </w:r>
            <w:r>
              <w:rPr>
                <w:rFonts w:hint="eastAsia" w:cs="Times New Roman"/>
                <w:sz w:val="18"/>
                <w:szCs w:val="18"/>
              </w:rPr>
              <w:t>m</w:t>
            </w:r>
          </w:p>
        </w:tc>
        <w:tc>
          <w:tcPr>
            <w:tcW w:w="200" w:type="pct"/>
            <w:vAlign w:val="center"/>
          </w:tcPr>
          <w:p>
            <w:pPr>
              <w:widowControl/>
              <w:jc w:val="center"/>
              <w:rPr>
                <w:rFonts w:cs="Times New Roman"/>
                <w:sz w:val="18"/>
                <w:szCs w:val="18"/>
              </w:rPr>
            </w:pPr>
            <w:r>
              <w:rPr>
                <w:rFonts w:hint="eastAsia" w:cs="Times New Roman"/>
                <w:sz w:val="18"/>
                <w:szCs w:val="18"/>
              </w:rPr>
              <w:t>住宅</w:t>
            </w:r>
          </w:p>
        </w:tc>
        <w:tc>
          <w:tcPr>
            <w:tcW w:w="400" w:type="pct"/>
            <w:vAlign w:val="center"/>
          </w:tcPr>
          <w:p>
            <w:pPr>
              <w:widowControl/>
              <w:jc w:val="center"/>
              <w:rPr>
                <w:rFonts w:cs="Times New Roman"/>
                <w:sz w:val="18"/>
                <w:szCs w:val="18"/>
              </w:rPr>
            </w:pPr>
            <w:r>
              <w:rPr>
                <w:rFonts w:hint="eastAsia" w:cs="Times New Roman"/>
                <w:sz w:val="18"/>
                <w:szCs w:val="18"/>
              </w:rPr>
              <w:t>3层坡顶</w:t>
            </w:r>
          </w:p>
          <w:p>
            <w:pPr>
              <w:widowControl/>
              <w:jc w:val="center"/>
              <w:rPr>
                <w:rFonts w:cs="Times New Roman"/>
                <w:sz w:val="18"/>
                <w:szCs w:val="18"/>
              </w:rPr>
            </w:pPr>
            <w:r>
              <w:rPr>
                <w:rFonts w:hint="eastAsia" w:cs="Times New Roman"/>
                <w:sz w:val="18"/>
                <w:szCs w:val="18"/>
              </w:rPr>
              <w:t>砖混结构</w:t>
            </w:r>
          </w:p>
        </w:tc>
        <w:tc>
          <w:tcPr>
            <w:tcW w:w="450" w:type="pct"/>
            <w:vAlign w:val="center"/>
          </w:tcPr>
          <w:p>
            <w:pPr>
              <w:widowControl/>
              <w:jc w:val="center"/>
              <w:rPr>
                <w:rFonts w:cs="Times New Roman"/>
                <w:sz w:val="18"/>
                <w:szCs w:val="18"/>
              </w:rPr>
            </w:pPr>
            <w:r>
              <w:rPr>
                <w:rFonts w:hint="eastAsia" w:cs="Times New Roman"/>
                <w:sz w:val="18"/>
                <w:szCs w:val="18"/>
              </w:rPr>
              <w:t>1</w:t>
            </w:r>
            <w:r>
              <w:rPr>
                <w:rFonts w:cs="Times New Roman"/>
                <w:sz w:val="18"/>
                <w:szCs w:val="18"/>
              </w:rPr>
              <w:t>户</w:t>
            </w:r>
          </w:p>
        </w:tc>
        <w:tc>
          <w:tcPr>
            <w:tcW w:w="332" w:type="pct"/>
            <w:vAlign w:val="center"/>
          </w:tcPr>
          <w:p>
            <w:pPr>
              <w:widowControl/>
              <w:jc w:val="center"/>
              <w:rPr>
                <w:rFonts w:cs="Times New Roman"/>
                <w:sz w:val="18"/>
                <w:szCs w:val="18"/>
              </w:rPr>
            </w:pPr>
            <w:r>
              <w:rPr>
                <w:rFonts w:cs="Times New Roman"/>
                <w:sz w:val="18"/>
                <w:szCs w:val="18"/>
              </w:rPr>
              <w:t>D</w:t>
            </w:r>
            <w:r>
              <w:rPr>
                <w:rFonts w:hint="eastAsia" w:cs="Times New Roman"/>
                <w:sz w:val="18"/>
                <w:szCs w:val="18"/>
              </w:rPr>
              <w:t>、Z</w:t>
            </w:r>
            <w:r>
              <w:rPr>
                <w:rFonts w:cs="Times New Roman"/>
                <w:sz w:val="18"/>
                <w:szCs w:val="18"/>
              </w:rPr>
              <w:t>2</w:t>
            </w:r>
          </w:p>
        </w:tc>
        <w:tc>
          <w:tcPr>
            <w:tcW w:w="1619" w:type="pct"/>
            <w:vMerge w:val="restart"/>
            <w:vAlign w:val="center"/>
          </w:tcPr>
          <w:p>
            <w:pPr>
              <w:widowControl/>
              <w:jc w:val="center"/>
              <w:rPr>
                <w:rFonts w:cs="Times New Roman"/>
                <w:sz w:val="18"/>
                <w:szCs w:val="18"/>
                <w:highlight w:val="yellow"/>
              </w:rPr>
            </w:pPr>
            <w:r>
              <w:rPr>
                <w:rFonts w:cs="Times New Roman"/>
                <w:sz w:val="18"/>
              </w:rPr>
              <mc:AlternateContent>
                <mc:Choice Requires="wps">
                  <w:drawing>
                    <wp:anchor distT="0" distB="0" distL="114300" distR="114300" simplePos="0" relativeHeight="251672576" behindDoc="0" locked="0" layoutInCell="1" allowOverlap="1">
                      <wp:simplePos x="0" y="0"/>
                      <wp:positionH relativeFrom="column">
                        <wp:posOffset>158115</wp:posOffset>
                      </wp:positionH>
                      <wp:positionV relativeFrom="paragraph">
                        <wp:posOffset>631190</wp:posOffset>
                      </wp:positionV>
                      <wp:extent cx="2638425" cy="0"/>
                      <wp:effectExtent l="0" t="0" r="0" b="0"/>
                      <wp:wrapNone/>
                      <wp:docPr id="2118247781" name="直接连接符 2118247781"/>
                      <wp:cNvGraphicFramePr/>
                      <a:graphic xmlns:a="http://schemas.openxmlformats.org/drawingml/2006/main">
                        <a:graphicData uri="http://schemas.microsoft.com/office/word/2010/wordprocessingShape">
                          <wps:wsp>
                            <wps:cNvCnPr/>
                            <wps:spPr>
                              <a:xfrm flipV="1">
                                <a:off x="0" y="0"/>
                                <a:ext cx="2638425" cy="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2.45pt;margin-top:49.7pt;height:0pt;width:207.75pt;z-index:251672576;mso-width-relative:page;mso-height-relative:page;" filled="f" stroked="t" coordsize="21600,21600" o:gfxdata="UEsDBAoAAAAAAIdO4kAAAAAAAAAAAAAAAAAEAAAAZHJzL1BLAwQUAAAACACHTuJAOOqPCNUAAAAI&#10;AQAADwAAAGRycy9kb3ducmV2LnhtbE2PMW/CMBCF90r8B+uQ2IodiApJ4yC1EhtLU4aOJr4mUeNz&#10;iE2Af9+rOrTb3b2nd98rdjfXiwnH0HnSkCwVCKTa244aDcf3/eMWRIiGrOk9oYY7BtiVs4fC5NZf&#10;6Q2nKjaCQyjkRkMb45BLGeoWnQlLPyCx9ulHZyKvYyPtaK4c7nq5UupJOtMRf2jNgK8t1l/VxWnY&#10;kzsfqpf1ZmPj/bxNDlPzMUmtF/NEPYOIeIt/ZvjBZ3QomenkL2SD6DWs0oydGrIsBcF6mioeTr8H&#10;WRbyf4HyG1BLAwQUAAAACACHTuJAGcoCo90BAAB/AwAADgAAAGRycy9lMm9Eb2MueG1srVPNjtMw&#10;EL4j8Q6W7zRpWLZR1HQPW5ULgkr83F3HTiz5Tx7TtC/BCyBxgxNH7rzNLo/B2GnLAjdEDqPxeOYb&#10;zzdfljcHo8leBFDOtnQ+KykRlrtO2b6lb99sntSUQGS2Y9pZ0dKjAHqzevxoOfpGVG5wuhOBIIiF&#10;ZvQtHWL0TVEAH4RhMHNeWLyULhgW8Rj6ogtsRHSji6osr4vRhc4HxwUARtfTJV1lfCkFj6+kBBGJ&#10;bim+LWYbst0lW6yWrOkD84Pip2ewf3iFYcpi0wvUmkVG3gf1F5RRPDhwMs64M4WTUnGRZ8Bp5uUf&#10;07wemBd5FiQH/IUm+H+w/OV+G4jqWlrN53V1tVjUc0osM7ir+4/f7j58/vH9E9r7r1/IgwykbfTQ&#10;YPWt3YbTCfw2JA4OMhgitfLvUBGZFZyTHDLpxwvp4hAJx2B1/bS+qp5Rws93xQSRoHyA+Fw4Q5LT&#10;Uq1s4oM1bP8CIrbF1HNKClu3UVrnnWpLRmxfLUpcO2coLalZRNd4HBZsTwnTPWqWx5AhwWnVpfIE&#10;BKHf3epA9gx1s9mU+CWpYLvf0lLvNYNhyuvQmwRlVERVa2VaWqfac7G2iJGIm6hK3s51x8xgjuOW&#10;c5eTIpOMHp5z9a//ZvU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OOqPCNUAAAAIAQAADwAAAAAA&#10;AAABACAAAAAiAAAAZHJzL2Rvd25yZXYueG1sUEsBAhQAFAAAAAgAh07iQBnKAqPdAQAAfwMAAA4A&#10;AAAAAAAAAQAgAAAAJAEAAGRycy9lMm9Eb2MueG1sUEsFBgAAAAAGAAYAWQEAAHMFAAAAAA==&#10;">
                      <v:fill on="f" focussize="0,0"/>
                      <v:stroke weight="1pt" color="#FF0000 [3204]" miterlimit="8" joinstyle="miter" dashstyle="dash"/>
                      <v:imagedata o:title=""/>
                      <o:lock v:ext="edit" aspectratio="f"/>
                    </v:line>
                  </w:pict>
                </mc:Fallback>
              </mc:AlternateContent>
            </w:r>
            <w:r>
              <w:rPr>
                <w:rFonts w:cs="Times New Roman"/>
                <w:sz w:val="18"/>
                <w:szCs w:val="18"/>
                <w:highlight w:val="yellow"/>
              </w:rPr>
              <w:drawing>
                <wp:inline distT="0" distB="0" distL="0" distR="0">
                  <wp:extent cx="2879725" cy="2159635"/>
                  <wp:effectExtent l="0" t="0" r="0" b="0"/>
                  <wp:docPr id="326575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7591" name="图片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880000" cy="2160000"/>
                          </a:xfrm>
                          <a:prstGeom prst="rect">
                            <a:avLst/>
                          </a:prstGeom>
                          <a:noFill/>
                          <a:ln>
                            <a:noFill/>
                          </a:ln>
                        </pic:spPr>
                      </pic:pic>
                    </a:graphicData>
                  </a:graphic>
                </wp:inline>
              </w:drawing>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83" w:type="pct"/>
            <w:vAlign w:val="center"/>
          </w:tcPr>
          <w:p>
            <w:pPr>
              <w:widowControl/>
              <w:jc w:val="center"/>
              <w:rPr>
                <w:rFonts w:cs="Times New Roman"/>
                <w:sz w:val="18"/>
                <w:szCs w:val="18"/>
              </w:rPr>
            </w:pPr>
            <w:r>
              <w:rPr>
                <w:rFonts w:hint="eastAsia" w:cs="Times New Roman"/>
                <w:sz w:val="18"/>
                <w:szCs w:val="18"/>
              </w:rPr>
              <w:t>2</w:t>
            </w:r>
          </w:p>
        </w:tc>
        <w:tc>
          <w:tcPr>
            <w:tcW w:w="463" w:type="pct"/>
            <w:vMerge w:val="continue"/>
            <w:vAlign w:val="center"/>
          </w:tcPr>
          <w:p>
            <w:pPr>
              <w:widowControl/>
              <w:jc w:val="center"/>
              <w:rPr>
                <w:rFonts w:cs="Times New Roman"/>
                <w:sz w:val="18"/>
                <w:szCs w:val="21"/>
              </w:rPr>
            </w:pPr>
          </w:p>
        </w:tc>
        <w:tc>
          <w:tcPr>
            <w:tcW w:w="299" w:type="pct"/>
            <w:vMerge w:val="continue"/>
            <w:vAlign w:val="center"/>
          </w:tcPr>
          <w:p>
            <w:pPr>
              <w:widowControl/>
              <w:jc w:val="center"/>
              <w:rPr>
                <w:rFonts w:cs="Times New Roman"/>
                <w:sz w:val="18"/>
                <w:szCs w:val="18"/>
              </w:rPr>
            </w:pPr>
          </w:p>
        </w:tc>
        <w:tc>
          <w:tcPr>
            <w:tcW w:w="317" w:type="pct"/>
            <w:vAlign w:val="center"/>
          </w:tcPr>
          <w:p>
            <w:pPr>
              <w:widowControl/>
              <w:jc w:val="center"/>
              <w:rPr>
                <w:rFonts w:cs="Times New Roman"/>
                <w:sz w:val="18"/>
                <w:szCs w:val="18"/>
              </w:rPr>
            </w:pPr>
            <w:r>
              <w:rPr>
                <w:rFonts w:hint="eastAsia" w:cs="Times New Roman"/>
                <w:sz w:val="18"/>
                <w:szCs w:val="18"/>
              </w:rPr>
              <w:t>范家埭3</w:t>
            </w:r>
            <w:r>
              <w:rPr>
                <w:rFonts w:cs="Times New Roman"/>
                <w:sz w:val="18"/>
                <w:szCs w:val="18"/>
              </w:rPr>
              <w:t>8</w:t>
            </w:r>
            <w:r>
              <w:rPr>
                <w:rFonts w:hint="eastAsia" w:cs="Times New Roman"/>
                <w:sz w:val="18"/>
                <w:szCs w:val="18"/>
              </w:rPr>
              <w:t>号</w:t>
            </w:r>
          </w:p>
        </w:tc>
        <w:tc>
          <w:tcPr>
            <w:tcW w:w="837" w:type="pct"/>
            <w:vAlign w:val="center"/>
          </w:tcPr>
          <w:p>
            <w:pPr>
              <w:widowControl/>
              <w:jc w:val="center"/>
              <w:rPr>
                <w:rFonts w:cs="Times New Roman"/>
                <w:sz w:val="18"/>
                <w:szCs w:val="18"/>
              </w:rPr>
            </w:pPr>
            <w:r>
              <w:rPr>
                <w:rFonts w:hint="eastAsia" w:cs="Times New Roman"/>
                <w:sz w:val="18"/>
                <w:szCs w:val="18"/>
              </w:rPr>
              <w:t>位于新建及老线路东北侧，距边导线最近距离约</w:t>
            </w:r>
            <w:r>
              <w:rPr>
                <w:rFonts w:cs="Times New Roman"/>
                <w:sz w:val="18"/>
                <w:szCs w:val="18"/>
              </w:rPr>
              <w:t>30</w:t>
            </w:r>
            <w:r>
              <w:rPr>
                <w:rFonts w:hint="eastAsia" w:cs="Times New Roman"/>
                <w:sz w:val="18"/>
                <w:szCs w:val="18"/>
              </w:rPr>
              <w:t>m</w:t>
            </w:r>
          </w:p>
        </w:tc>
        <w:tc>
          <w:tcPr>
            <w:tcW w:w="200" w:type="pct"/>
            <w:vAlign w:val="center"/>
          </w:tcPr>
          <w:p>
            <w:pPr>
              <w:widowControl/>
              <w:jc w:val="center"/>
              <w:rPr>
                <w:rFonts w:cs="Times New Roman"/>
                <w:sz w:val="18"/>
                <w:szCs w:val="18"/>
              </w:rPr>
            </w:pPr>
            <w:r>
              <w:rPr>
                <w:rFonts w:hint="eastAsia" w:cs="Times New Roman"/>
                <w:sz w:val="18"/>
                <w:szCs w:val="18"/>
              </w:rPr>
              <w:t>住宅</w:t>
            </w:r>
          </w:p>
        </w:tc>
        <w:tc>
          <w:tcPr>
            <w:tcW w:w="400" w:type="pct"/>
            <w:vAlign w:val="center"/>
          </w:tcPr>
          <w:p>
            <w:pPr>
              <w:widowControl/>
              <w:jc w:val="center"/>
              <w:rPr>
                <w:rFonts w:cs="Times New Roman"/>
                <w:sz w:val="18"/>
                <w:szCs w:val="18"/>
              </w:rPr>
            </w:pPr>
            <w:r>
              <w:rPr>
                <w:rFonts w:hint="eastAsia" w:cs="Times New Roman"/>
                <w:sz w:val="18"/>
                <w:szCs w:val="18"/>
              </w:rPr>
              <w:t>3层坡顶</w:t>
            </w:r>
          </w:p>
          <w:p>
            <w:pPr>
              <w:widowControl/>
              <w:jc w:val="center"/>
              <w:rPr>
                <w:rFonts w:cs="Times New Roman"/>
                <w:sz w:val="18"/>
                <w:szCs w:val="18"/>
              </w:rPr>
            </w:pPr>
            <w:r>
              <w:rPr>
                <w:rFonts w:hint="eastAsia" w:cs="Times New Roman"/>
                <w:sz w:val="18"/>
                <w:szCs w:val="18"/>
              </w:rPr>
              <w:t>砖混结构</w:t>
            </w:r>
          </w:p>
        </w:tc>
        <w:tc>
          <w:tcPr>
            <w:tcW w:w="450" w:type="pct"/>
            <w:vAlign w:val="center"/>
          </w:tcPr>
          <w:p>
            <w:pPr>
              <w:widowControl/>
              <w:jc w:val="center"/>
              <w:rPr>
                <w:rFonts w:cs="Times New Roman"/>
                <w:sz w:val="18"/>
                <w:szCs w:val="18"/>
              </w:rPr>
            </w:pPr>
            <w:r>
              <w:rPr>
                <w:rFonts w:hint="eastAsia" w:cs="Times New Roman"/>
                <w:sz w:val="18"/>
                <w:szCs w:val="18"/>
              </w:rPr>
              <w:t>1</w:t>
            </w:r>
            <w:r>
              <w:rPr>
                <w:rFonts w:cs="Times New Roman"/>
                <w:sz w:val="18"/>
                <w:szCs w:val="18"/>
              </w:rPr>
              <w:t>户</w:t>
            </w:r>
          </w:p>
        </w:tc>
        <w:tc>
          <w:tcPr>
            <w:tcW w:w="332" w:type="pct"/>
            <w:vAlign w:val="center"/>
          </w:tcPr>
          <w:p>
            <w:pPr>
              <w:widowControl/>
              <w:jc w:val="center"/>
              <w:rPr>
                <w:rFonts w:cs="Times New Roman"/>
                <w:sz w:val="18"/>
                <w:szCs w:val="18"/>
              </w:rPr>
            </w:pPr>
            <w:r>
              <w:rPr>
                <w:rFonts w:cs="Times New Roman"/>
                <w:sz w:val="18"/>
                <w:szCs w:val="18"/>
              </w:rPr>
              <w:t>D</w:t>
            </w:r>
            <w:r>
              <w:rPr>
                <w:rFonts w:hint="eastAsia" w:cs="Times New Roman"/>
                <w:sz w:val="18"/>
                <w:szCs w:val="18"/>
              </w:rPr>
              <w:t>、Z</w:t>
            </w:r>
            <w:r>
              <w:rPr>
                <w:rFonts w:cs="Times New Roman"/>
                <w:sz w:val="18"/>
                <w:szCs w:val="18"/>
              </w:rPr>
              <w:t>2</w:t>
            </w:r>
          </w:p>
        </w:tc>
        <w:tc>
          <w:tcPr>
            <w:tcW w:w="1619" w:type="pct"/>
            <w:vMerge w:val="continue"/>
            <w:vAlign w:val="center"/>
          </w:tcPr>
          <w:p>
            <w:pPr>
              <w:widowControl/>
              <w:jc w:val="center"/>
              <w:rPr>
                <w:rFonts w:cs="Times New Roman"/>
                <w:sz w:val="18"/>
                <w:szCs w:val="18"/>
              </w:rPr>
            </w:pPr>
          </w:p>
        </w:tc>
      </w:tr>
    </w:tbl>
    <w:p>
      <w:pPr>
        <w:rPr>
          <w:rFonts w:eastAsia="黑体" w:cs="Times New Roman"/>
          <w:sz w:val="18"/>
          <w:szCs w:val="20"/>
        </w:rPr>
      </w:pPr>
      <w:r>
        <w:rPr>
          <w:rFonts w:eastAsia="黑体" w:cs="Times New Roman"/>
          <w:sz w:val="18"/>
          <w:szCs w:val="20"/>
        </w:rPr>
        <w:t>注：</w:t>
      </w:r>
      <w:r>
        <w:rPr>
          <w:rFonts w:hint="eastAsia" w:eastAsia="黑体" w:cs="Times New Roman"/>
          <w:sz w:val="18"/>
          <w:szCs w:val="20"/>
        </w:rPr>
        <w:t>1、</w:t>
      </w:r>
      <w:r>
        <w:rPr>
          <w:rFonts w:eastAsia="黑体" w:cs="Times New Roman"/>
          <w:sz w:val="18"/>
          <w:szCs w:val="20"/>
        </w:rPr>
        <w:t>D—工频电场强度≤4kV/m、工频磁感应强度≤100μT</w:t>
      </w:r>
      <w:r>
        <w:rPr>
          <w:rFonts w:hint="eastAsia" w:eastAsia="黑体" w:cs="Times New Roman"/>
          <w:sz w:val="18"/>
          <w:szCs w:val="20"/>
        </w:rPr>
        <w:t>；</w:t>
      </w:r>
      <w:r>
        <w:rPr>
          <w:rFonts w:eastAsia="黑体" w:cs="Times New Roman"/>
          <w:sz w:val="18"/>
          <w:szCs w:val="20"/>
        </w:rPr>
        <w:t>Z2</w:t>
      </w:r>
      <w:r>
        <w:rPr>
          <w:rFonts w:hint="eastAsia" w:eastAsia="黑体" w:cs="Times New Roman"/>
          <w:sz w:val="18"/>
          <w:szCs w:val="20"/>
        </w:rPr>
        <w:t>—《声环境质量标准》（</w:t>
      </w:r>
      <w:r>
        <w:rPr>
          <w:rFonts w:eastAsia="黑体" w:cs="Times New Roman"/>
          <w:sz w:val="18"/>
          <w:szCs w:val="20"/>
        </w:rPr>
        <w:t>GB 3096-2008</w:t>
      </w:r>
      <w:r>
        <w:rPr>
          <w:rFonts w:hint="eastAsia" w:eastAsia="黑体" w:cs="Times New Roman"/>
          <w:sz w:val="18"/>
          <w:szCs w:val="20"/>
        </w:rPr>
        <w:t>）</w:t>
      </w:r>
      <w:r>
        <w:rPr>
          <w:rFonts w:eastAsia="黑体" w:cs="Times New Roman"/>
          <w:sz w:val="18"/>
          <w:szCs w:val="20"/>
        </w:rPr>
        <w:t>2</w:t>
      </w:r>
      <w:r>
        <w:rPr>
          <w:rFonts w:hint="eastAsia" w:eastAsia="黑体" w:cs="Times New Roman"/>
          <w:sz w:val="18"/>
          <w:szCs w:val="20"/>
        </w:rPr>
        <w:t>类标准。</w:t>
      </w:r>
    </w:p>
    <w:p>
      <w:pPr>
        <w:rPr>
          <w:rFonts w:eastAsia="黑体" w:cs="Times New Roman"/>
          <w:sz w:val="18"/>
          <w:szCs w:val="20"/>
        </w:rPr>
      </w:pPr>
      <w:r>
        <w:rPr>
          <w:rFonts w:eastAsia="黑体" w:cs="Times New Roman"/>
          <w:sz w:val="18"/>
          <w:szCs w:val="20"/>
        </w:rPr>
        <w:t>2</w:t>
      </w:r>
      <w:r>
        <w:rPr>
          <w:rFonts w:hint="eastAsia" w:eastAsia="黑体" w:cs="Times New Roman"/>
          <w:sz w:val="18"/>
          <w:szCs w:val="20"/>
        </w:rPr>
        <w:t>、范家埭</w:t>
      </w:r>
      <w:r>
        <w:rPr>
          <w:rFonts w:eastAsia="黑体" w:cs="Times New Roman"/>
          <w:sz w:val="18"/>
          <w:szCs w:val="20"/>
        </w:rPr>
        <w:t>15~30</w:t>
      </w:r>
      <w:r>
        <w:rPr>
          <w:rFonts w:hint="eastAsia" w:eastAsia="黑体" w:cs="Times New Roman"/>
          <w:sz w:val="18"/>
          <w:szCs w:val="20"/>
        </w:rPr>
        <w:t>号因杭州机场高铁工程建设需要拆迁，目前人员已搬离，建筑物正在拆除中。</w:t>
      </w:r>
    </w:p>
    <w:p>
      <w:pPr>
        <w:pStyle w:val="2"/>
        <w:rPr>
          <w:highlight w:val="yellow"/>
        </w:rPr>
        <w:sectPr>
          <w:pgSz w:w="16838" w:h="11906" w:orient="landscape"/>
          <w:pgMar w:top="1134" w:right="1134" w:bottom="1134" w:left="1134" w:header="851" w:footer="992" w:gutter="0"/>
          <w:cols w:space="425" w:num="1"/>
          <w:docGrid w:type="lines" w:linePitch="312" w:charSpace="0"/>
        </w:sectPr>
      </w:pPr>
    </w:p>
    <w:tbl>
      <w:tblPr>
        <w:tblStyle w:val="25"/>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557"/>
        <w:gridCol w:w="86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666" w:hRule="atLeast"/>
          <w:jc w:val="center"/>
        </w:trPr>
        <w:tc>
          <w:tcPr>
            <w:tcW w:w="557" w:type="dxa"/>
            <w:vAlign w:val="center"/>
          </w:tcPr>
          <w:p>
            <w:pPr>
              <w:adjustRightInd w:val="0"/>
              <w:snapToGrid w:val="0"/>
              <w:jc w:val="center"/>
              <w:rPr>
                <w:rFonts w:eastAsia="黑体" w:cs="Times New Roman"/>
                <w:kern w:val="0"/>
                <w:szCs w:val="21"/>
              </w:rPr>
            </w:pPr>
            <w:r>
              <w:rPr>
                <w:rFonts w:eastAsia="黑体" w:cs="Times New Roman"/>
                <w:kern w:val="0"/>
                <w:szCs w:val="21"/>
              </w:rPr>
              <w:t>评</w:t>
            </w:r>
          </w:p>
          <w:p>
            <w:pPr>
              <w:adjustRightInd w:val="0"/>
              <w:snapToGrid w:val="0"/>
              <w:jc w:val="center"/>
              <w:rPr>
                <w:rFonts w:eastAsia="黑体" w:cs="Times New Roman"/>
                <w:kern w:val="0"/>
                <w:szCs w:val="21"/>
              </w:rPr>
            </w:pPr>
          </w:p>
          <w:p>
            <w:pPr>
              <w:adjustRightInd w:val="0"/>
              <w:snapToGrid w:val="0"/>
              <w:jc w:val="center"/>
              <w:rPr>
                <w:rFonts w:eastAsia="黑体" w:cs="Times New Roman"/>
                <w:kern w:val="0"/>
                <w:szCs w:val="21"/>
              </w:rPr>
            </w:pPr>
            <w:r>
              <w:rPr>
                <w:rFonts w:eastAsia="黑体" w:cs="Times New Roman"/>
                <w:kern w:val="0"/>
                <w:szCs w:val="21"/>
              </w:rPr>
              <w:t>价</w:t>
            </w:r>
          </w:p>
          <w:p>
            <w:pPr>
              <w:adjustRightInd w:val="0"/>
              <w:snapToGrid w:val="0"/>
              <w:jc w:val="center"/>
              <w:rPr>
                <w:rFonts w:eastAsia="黑体" w:cs="Times New Roman"/>
                <w:kern w:val="0"/>
                <w:szCs w:val="21"/>
              </w:rPr>
            </w:pPr>
          </w:p>
          <w:p>
            <w:pPr>
              <w:adjustRightInd w:val="0"/>
              <w:snapToGrid w:val="0"/>
              <w:jc w:val="center"/>
              <w:rPr>
                <w:rFonts w:eastAsia="黑体" w:cs="Times New Roman"/>
                <w:kern w:val="0"/>
                <w:szCs w:val="21"/>
              </w:rPr>
            </w:pPr>
            <w:r>
              <w:rPr>
                <w:rFonts w:eastAsia="黑体" w:cs="Times New Roman"/>
                <w:kern w:val="0"/>
                <w:szCs w:val="21"/>
              </w:rPr>
              <w:t>标</w:t>
            </w:r>
          </w:p>
          <w:p>
            <w:pPr>
              <w:adjustRightInd w:val="0"/>
              <w:snapToGrid w:val="0"/>
              <w:jc w:val="center"/>
              <w:rPr>
                <w:rFonts w:eastAsia="黑体" w:cs="Times New Roman"/>
                <w:kern w:val="0"/>
                <w:szCs w:val="21"/>
              </w:rPr>
            </w:pPr>
          </w:p>
          <w:p>
            <w:pPr>
              <w:adjustRightInd w:val="0"/>
              <w:snapToGrid w:val="0"/>
              <w:jc w:val="center"/>
              <w:rPr>
                <w:rFonts w:eastAsia="黑体" w:cs="Times New Roman"/>
                <w:kern w:val="0"/>
                <w:szCs w:val="21"/>
                <w:highlight w:val="yellow"/>
              </w:rPr>
            </w:pPr>
            <w:r>
              <w:rPr>
                <w:rFonts w:eastAsia="黑体" w:cs="Times New Roman"/>
                <w:kern w:val="0"/>
                <w:szCs w:val="21"/>
              </w:rPr>
              <w:t>准</w:t>
            </w:r>
          </w:p>
        </w:tc>
        <w:tc>
          <w:tcPr>
            <w:tcW w:w="8600" w:type="dxa"/>
            <w:vAlign w:val="center"/>
          </w:tcPr>
          <w:p>
            <w:pPr>
              <w:pStyle w:val="4"/>
              <w:numPr>
                <w:ilvl w:val="1"/>
                <w:numId w:val="7"/>
              </w:numPr>
              <w:rPr>
                <w:rFonts w:ascii="Times New Roman" w:hAnsi="Times New Roman" w:cs="Times New Roman"/>
              </w:rPr>
            </w:pPr>
            <w:r>
              <w:rPr>
                <w:rFonts w:ascii="Times New Roman" w:hAnsi="Times New Roman" w:cs="Times New Roman"/>
              </w:rPr>
              <w:t>环境质量标准</w:t>
            </w:r>
          </w:p>
          <w:p>
            <w:pPr>
              <w:keepLines/>
              <w:numPr>
                <w:ilvl w:val="1"/>
                <w:numId w:val="0"/>
              </w:numPr>
              <w:spacing w:line="360" w:lineRule="auto"/>
              <w:outlineLvl w:val="2"/>
              <w:rPr>
                <w:rFonts w:eastAsia="黑体" w:cs="Times New Roman"/>
                <w:szCs w:val="32"/>
              </w:rPr>
            </w:pPr>
            <w:r>
              <w:rPr>
                <w:rFonts w:eastAsia="黑体" w:cs="Times New Roman"/>
                <w:szCs w:val="32"/>
              </w:rPr>
              <w:t>9.1  电磁环境</w:t>
            </w:r>
          </w:p>
          <w:p>
            <w:pPr>
              <w:spacing w:line="360" w:lineRule="auto"/>
              <w:ind w:firstLine="420" w:firstLineChars="200"/>
              <w:rPr>
                <w:rFonts w:cs="Times New Roman"/>
                <w:szCs w:val="21"/>
              </w:rPr>
            </w:pPr>
            <w:r>
              <w:rPr>
                <w:rFonts w:cs="Times New Roman"/>
                <w:szCs w:val="21"/>
              </w:rPr>
              <w:t>根据《电磁环境控制限值》（GB 8072-2014），公众曝露工频电场强度控制限值为</w:t>
            </w:r>
            <w:r>
              <w:rPr>
                <w:rFonts w:hint="eastAsia" w:cs="Times New Roman"/>
                <w:szCs w:val="21"/>
              </w:rPr>
              <w:t>4kV/m</w:t>
            </w:r>
            <w:r>
              <w:rPr>
                <w:rFonts w:cs="Times New Roman"/>
                <w:szCs w:val="21"/>
              </w:rPr>
              <w:t>，工频磁感应强度控制限值为100μT。架空输电线路线下的耕地、园地、牧草地、畜禽养殖地、养殖水面、道路等场所（以下简称</w:t>
            </w:r>
            <w:r>
              <w:rPr>
                <w:rFonts w:hint="eastAsia" w:ascii="宋体" w:hAnsi="宋体" w:cs="宋体"/>
                <w:szCs w:val="21"/>
              </w:rPr>
              <w:t>“耕养区”</w:t>
            </w:r>
            <w:r>
              <w:rPr>
                <w:rFonts w:cs="Times New Roman"/>
                <w:szCs w:val="21"/>
              </w:rPr>
              <w:t>），工频电场强度控制限值为10kV/m。</w:t>
            </w:r>
          </w:p>
          <w:p>
            <w:pPr>
              <w:keepLines/>
              <w:numPr>
                <w:ilvl w:val="1"/>
                <w:numId w:val="0"/>
              </w:numPr>
              <w:spacing w:line="360" w:lineRule="auto"/>
              <w:outlineLvl w:val="2"/>
              <w:rPr>
                <w:rFonts w:eastAsia="黑体" w:cs="Times New Roman"/>
                <w:szCs w:val="32"/>
              </w:rPr>
            </w:pPr>
            <w:r>
              <w:rPr>
                <w:rFonts w:eastAsia="黑体" w:cs="Times New Roman"/>
                <w:szCs w:val="32"/>
              </w:rPr>
              <w:t xml:space="preserve">9.2  </w:t>
            </w:r>
            <w:r>
              <w:rPr>
                <w:rFonts w:hint="eastAsia" w:eastAsia="黑体" w:cs="Times New Roman"/>
                <w:szCs w:val="32"/>
              </w:rPr>
              <w:t>声环境</w:t>
            </w:r>
          </w:p>
          <w:p>
            <w:pPr>
              <w:spacing w:line="360" w:lineRule="auto"/>
              <w:ind w:firstLine="420" w:firstLineChars="200"/>
              <w:jc w:val="both"/>
              <w:rPr>
                <w:rFonts w:cs="Times New Roman"/>
                <w:szCs w:val="21"/>
                <w:highlight w:val="yellow"/>
              </w:rPr>
            </w:pPr>
            <w:r>
              <w:rPr>
                <w:rFonts w:hint="eastAsia" w:cs="Times New Roman"/>
                <w:szCs w:val="21"/>
              </w:rPr>
              <w:t>根据工程所在区域尚未划分声环境功能区。工程所在区域属于农村地区，周边有G</w:t>
            </w:r>
            <w:r>
              <w:rPr>
                <w:rFonts w:cs="Times New Roman"/>
                <w:szCs w:val="21"/>
              </w:rPr>
              <w:t>92</w:t>
            </w:r>
            <w:r>
              <w:rPr>
                <w:rFonts w:hint="eastAsia" w:cs="Times New Roman"/>
                <w:szCs w:val="21"/>
              </w:rPr>
              <w:t>、S</w:t>
            </w:r>
            <w:r>
              <w:rPr>
                <w:rFonts w:cs="Times New Roman"/>
                <w:szCs w:val="21"/>
              </w:rPr>
              <w:t>9</w:t>
            </w:r>
            <w:r>
              <w:rPr>
                <w:rFonts w:hint="eastAsia" w:cs="Times New Roman"/>
                <w:szCs w:val="21"/>
              </w:rPr>
              <w:t>等交通干线经过，按照《声环境质量标准》（GB3096-2008）中乡村声环境功能的划分要求，执行《声环境质量标准》(GB3096-2008)</w:t>
            </w:r>
            <w:r>
              <w:rPr>
                <w:rFonts w:cs="Times New Roman"/>
                <w:szCs w:val="21"/>
              </w:rPr>
              <w:t>2</w:t>
            </w:r>
            <w:r>
              <w:rPr>
                <w:rFonts w:hint="eastAsia" w:cs="Times New Roman"/>
                <w:szCs w:val="21"/>
              </w:rPr>
              <w:t>类标准（昼间</w:t>
            </w:r>
            <w:r>
              <w:rPr>
                <w:rFonts w:cs="Times New Roman"/>
                <w:szCs w:val="21"/>
              </w:rPr>
              <w:t>60dB(A)</w:t>
            </w:r>
            <w:r>
              <w:rPr>
                <w:rFonts w:hint="eastAsia" w:cs="Times New Roman"/>
                <w:szCs w:val="21"/>
              </w:rPr>
              <w:t>，夜间</w:t>
            </w:r>
            <w:r>
              <w:rPr>
                <w:rFonts w:cs="Times New Roman"/>
                <w:szCs w:val="21"/>
              </w:rPr>
              <w:t>50dB(A)</w:t>
            </w:r>
            <w:r>
              <w:rPr>
                <w:rFonts w:hint="eastAsia" w:cs="Times New Roman"/>
                <w:szCs w:val="21"/>
              </w:rPr>
              <w:t>）。</w:t>
            </w:r>
          </w:p>
          <w:p>
            <w:pPr>
              <w:pStyle w:val="4"/>
              <w:numPr>
                <w:ilvl w:val="1"/>
                <w:numId w:val="7"/>
              </w:numPr>
              <w:rPr>
                <w:rFonts w:ascii="Times New Roman" w:hAnsi="Times New Roman" w:cs="Times New Roman"/>
              </w:rPr>
            </w:pPr>
            <w:r>
              <w:rPr>
                <w:rFonts w:ascii="Times New Roman" w:hAnsi="Times New Roman" w:cs="Times New Roman"/>
              </w:rPr>
              <w:t>污染物排放标准</w:t>
            </w:r>
          </w:p>
          <w:p>
            <w:pPr>
              <w:keepLines/>
              <w:numPr>
                <w:ilvl w:val="1"/>
                <w:numId w:val="0"/>
              </w:numPr>
              <w:spacing w:line="360" w:lineRule="auto"/>
              <w:outlineLvl w:val="2"/>
              <w:rPr>
                <w:rFonts w:eastAsia="黑体" w:cs="Times New Roman"/>
                <w:szCs w:val="32"/>
              </w:rPr>
            </w:pPr>
            <w:r>
              <w:rPr>
                <w:rFonts w:eastAsia="黑体" w:cs="Times New Roman"/>
                <w:szCs w:val="32"/>
              </w:rPr>
              <w:t>10.1  环境噪声</w:t>
            </w:r>
          </w:p>
          <w:p>
            <w:pPr>
              <w:spacing w:line="360" w:lineRule="auto"/>
              <w:ind w:firstLine="420" w:firstLineChars="200"/>
              <w:rPr>
                <w:rFonts w:cs="Times New Roman"/>
                <w:szCs w:val="21"/>
              </w:rPr>
            </w:pPr>
            <w:r>
              <w:rPr>
                <w:rFonts w:cs="Times New Roman"/>
                <w:szCs w:val="21"/>
              </w:rPr>
              <w:t>工程施工期执行《建筑施工场界环境噪声排放标准》（GB 12523-2011）限值。</w:t>
            </w:r>
          </w:p>
          <w:p>
            <w:pPr>
              <w:jc w:val="center"/>
              <w:rPr>
                <w:rFonts w:eastAsia="黑体" w:cs="Times New Roman"/>
                <w:sz w:val="18"/>
                <w:szCs w:val="18"/>
              </w:rPr>
            </w:pPr>
            <w:r>
              <w:rPr>
                <w:rFonts w:eastAsia="黑体" w:cs="Times New Roman"/>
                <w:sz w:val="18"/>
                <w:szCs w:val="18"/>
              </w:rPr>
              <w:t>表3.10-1  噪声排放标准一览表</w:t>
            </w:r>
            <w:r>
              <w:rPr>
                <w:rFonts w:hint="eastAsia" w:eastAsia="黑体" w:cs="Times New Roman"/>
                <w:sz w:val="18"/>
                <w:szCs w:val="18"/>
              </w:rPr>
              <w:t xml:space="preserve"> </w:t>
            </w:r>
            <w:r>
              <w:rPr>
                <w:rFonts w:eastAsia="黑体" w:cs="Times New Roman"/>
                <w:sz w:val="18"/>
                <w:szCs w:val="18"/>
              </w:rPr>
              <w:t xml:space="preserve">    单位：dB（A）</w:t>
            </w:r>
          </w:p>
          <w:tbl>
            <w:tblPr>
              <w:tblStyle w:val="50"/>
              <w:tblW w:w="5000" w:type="pct"/>
              <w:tblInd w:w="5" w:type="dxa"/>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601"/>
              <w:gridCol w:w="1015"/>
              <w:gridCol w:w="854"/>
              <w:gridCol w:w="2016"/>
            </w:tblGrid>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PrEx>
              <w:trPr>
                <w:trHeight w:val="20" w:hRule="atLeast"/>
              </w:trPr>
              <w:tc>
                <w:tcPr>
                  <w:tcW w:w="2710"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标准号及名称</w:t>
                  </w:r>
                </w:p>
              </w:tc>
              <w:tc>
                <w:tcPr>
                  <w:tcW w:w="598"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执行类别</w:t>
                  </w:r>
                </w:p>
              </w:tc>
              <w:tc>
                <w:tcPr>
                  <w:tcW w:w="503"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指标</w:t>
                  </w:r>
                </w:p>
              </w:tc>
              <w:tc>
                <w:tcPr>
                  <w:tcW w:w="1187"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标准限值</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0" w:hRule="atLeast"/>
              </w:trPr>
              <w:tc>
                <w:tcPr>
                  <w:tcW w:w="2710"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《建筑施工场界环境噪声排放标准》（GB 12523-2011）</w:t>
                  </w:r>
                </w:p>
              </w:tc>
              <w:tc>
                <w:tcPr>
                  <w:tcW w:w="598"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限值</w:t>
                  </w:r>
                </w:p>
              </w:tc>
              <w:tc>
                <w:tcPr>
                  <w:tcW w:w="503" w:type="pct"/>
                  <w:tcMar>
                    <w:left w:w="28" w:type="dxa"/>
                    <w:right w:w="28" w:type="dxa"/>
                  </w:tcMar>
                  <w:vAlign w:val="center"/>
                </w:tcPr>
                <w:p>
                  <w:pPr>
                    <w:adjustRightInd w:val="0"/>
                    <w:snapToGrid w:val="0"/>
                    <w:jc w:val="center"/>
                    <w:rPr>
                      <w:rFonts w:cs="Times New Roman"/>
                      <w:sz w:val="18"/>
                      <w:szCs w:val="18"/>
                    </w:rPr>
                  </w:pPr>
                  <w:r>
                    <w:rPr>
                      <w:rFonts w:cs="Times New Roman"/>
                      <w:i/>
                      <w:iCs/>
                      <w:sz w:val="18"/>
                      <w:szCs w:val="18"/>
                    </w:rPr>
                    <w:t>L</w:t>
                  </w:r>
                  <w:r>
                    <w:rPr>
                      <w:rFonts w:cs="Times New Roman"/>
                      <w:sz w:val="18"/>
                      <w:szCs w:val="18"/>
                      <w:vertAlign w:val="subscript"/>
                    </w:rPr>
                    <w:t>eq</w:t>
                  </w:r>
                  <w:r>
                    <w:rPr>
                      <w:rFonts w:cs="Times New Roman"/>
                      <w:sz w:val="18"/>
                      <w:szCs w:val="18"/>
                    </w:rPr>
                    <w:t>(A)</w:t>
                  </w:r>
                </w:p>
              </w:tc>
              <w:tc>
                <w:tcPr>
                  <w:tcW w:w="1187"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昼间70，夜间55</w:t>
                  </w:r>
                </w:p>
              </w:tc>
            </w:tr>
          </w:tbl>
          <w:p>
            <w:pPr>
              <w:keepLines/>
              <w:numPr>
                <w:ilvl w:val="1"/>
                <w:numId w:val="0"/>
              </w:numPr>
              <w:spacing w:line="360" w:lineRule="auto"/>
              <w:outlineLvl w:val="2"/>
              <w:rPr>
                <w:rFonts w:eastAsia="黑体" w:cs="Times New Roman"/>
                <w:szCs w:val="32"/>
              </w:rPr>
            </w:pPr>
            <w:r>
              <w:rPr>
                <w:rFonts w:eastAsia="黑体" w:cs="Times New Roman"/>
                <w:szCs w:val="32"/>
              </w:rPr>
              <w:t>10.2  大气环境</w:t>
            </w:r>
          </w:p>
          <w:p>
            <w:pPr>
              <w:spacing w:line="360" w:lineRule="auto"/>
              <w:ind w:firstLine="420" w:firstLineChars="200"/>
              <w:rPr>
                <w:rFonts w:cs="Times New Roman"/>
                <w:szCs w:val="21"/>
              </w:rPr>
            </w:pPr>
            <w:r>
              <w:rPr>
                <w:rFonts w:cs="Times New Roman"/>
                <w:szCs w:val="21"/>
              </w:rPr>
              <w:t>施工期颗粒物等大气污染物排放执行《大气污染物综合排放标准》（GB 16297-1996）中无组织排放监控浓度限值，详见表3.10-2。</w:t>
            </w:r>
          </w:p>
          <w:p>
            <w:pPr>
              <w:jc w:val="center"/>
              <w:rPr>
                <w:rFonts w:eastAsia="黑体" w:cs="Times New Roman"/>
                <w:sz w:val="18"/>
                <w:szCs w:val="18"/>
              </w:rPr>
            </w:pPr>
            <w:r>
              <w:rPr>
                <w:rFonts w:eastAsia="黑体" w:cs="Times New Roman"/>
                <w:sz w:val="18"/>
                <w:szCs w:val="18"/>
              </w:rPr>
              <w:t xml:space="preserve">表3.10-2    </w:t>
            </w:r>
            <w:r>
              <w:rPr>
                <w:rFonts w:eastAsia="黑体" w:cs="Times New Roman"/>
                <w:snapToGrid w:val="0"/>
                <w:sz w:val="18"/>
                <w:szCs w:val="18"/>
              </w:rPr>
              <w:t>环境空气评价标准</w:t>
            </w:r>
          </w:p>
          <w:tbl>
            <w:tblPr>
              <w:tblStyle w:val="25"/>
              <w:tblW w:w="5000" w:type="pct"/>
              <w:tblInd w:w="5" w:type="dxa"/>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1577"/>
              <w:gridCol w:w="2305"/>
              <w:gridCol w:w="2437"/>
              <w:gridCol w:w="1147"/>
              <w:gridCol w:w="1020"/>
            </w:tblGrid>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29" w:type="pct"/>
                  <w:vAlign w:val="center"/>
                </w:tcPr>
                <w:p>
                  <w:pPr>
                    <w:adjustRightInd w:val="0"/>
                    <w:snapToGrid w:val="0"/>
                    <w:jc w:val="center"/>
                    <w:rPr>
                      <w:rFonts w:cs="Times New Roman"/>
                      <w:sz w:val="18"/>
                      <w:szCs w:val="18"/>
                    </w:rPr>
                  </w:pPr>
                  <w:r>
                    <w:rPr>
                      <w:rFonts w:cs="Times New Roman"/>
                      <w:sz w:val="18"/>
                      <w:szCs w:val="18"/>
                    </w:rPr>
                    <w:t>标准号</w:t>
                  </w:r>
                </w:p>
              </w:tc>
              <w:tc>
                <w:tcPr>
                  <w:tcW w:w="1358" w:type="pct"/>
                  <w:vAlign w:val="center"/>
                </w:tcPr>
                <w:p>
                  <w:pPr>
                    <w:adjustRightInd w:val="0"/>
                    <w:snapToGrid w:val="0"/>
                    <w:jc w:val="center"/>
                    <w:rPr>
                      <w:rFonts w:cs="Times New Roman"/>
                      <w:sz w:val="18"/>
                      <w:szCs w:val="18"/>
                    </w:rPr>
                  </w:pPr>
                  <w:r>
                    <w:rPr>
                      <w:rFonts w:cs="Times New Roman"/>
                      <w:sz w:val="18"/>
                      <w:szCs w:val="18"/>
                    </w:rPr>
                    <w:t>标准名称</w:t>
                  </w:r>
                </w:p>
              </w:tc>
              <w:tc>
                <w:tcPr>
                  <w:tcW w:w="1436" w:type="pct"/>
                  <w:vAlign w:val="center"/>
                </w:tcPr>
                <w:p>
                  <w:pPr>
                    <w:adjustRightInd w:val="0"/>
                    <w:snapToGrid w:val="0"/>
                    <w:jc w:val="center"/>
                    <w:rPr>
                      <w:rFonts w:cs="Times New Roman"/>
                      <w:sz w:val="18"/>
                      <w:szCs w:val="18"/>
                    </w:rPr>
                  </w:pPr>
                  <w:r>
                    <w:rPr>
                      <w:rFonts w:cs="Times New Roman"/>
                      <w:sz w:val="18"/>
                      <w:szCs w:val="18"/>
                    </w:rPr>
                    <w:t>标准等级</w:t>
                  </w:r>
                </w:p>
              </w:tc>
              <w:tc>
                <w:tcPr>
                  <w:tcW w:w="676" w:type="pct"/>
                  <w:vAlign w:val="center"/>
                </w:tcPr>
                <w:p>
                  <w:pPr>
                    <w:adjustRightInd w:val="0"/>
                    <w:snapToGrid w:val="0"/>
                    <w:jc w:val="center"/>
                    <w:rPr>
                      <w:rFonts w:cs="Times New Roman"/>
                      <w:sz w:val="18"/>
                      <w:szCs w:val="18"/>
                    </w:rPr>
                  </w:pPr>
                  <w:r>
                    <w:rPr>
                      <w:rFonts w:cs="Times New Roman"/>
                      <w:sz w:val="18"/>
                      <w:szCs w:val="18"/>
                    </w:rPr>
                    <w:t>主要指标</w:t>
                  </w:r>
                </w:p>
              </w:tc>
              <w:tc>
                <w:tcPr>
                  <w:tcW w:w="601" w:type="pct"/>
                  <w:vAlign w:val="center"/>
                </w:tcPr>
                <w:p>
                  <w:pPr>
                    <w:adjustRightInd w:val="0"/>
                    <w:snapToGrid w:val="0"/>
                    <w:jc w:val="center"/>
                    <w:rPr>
                      <w:rFonts w:cs="Times New Roman"/>
                      <w:sz w:val="18"/>
                      <w:szCs w:val="18"/>
                    </w:rPr>
                  </w:pPr>
                  <w:r>
                    <w:rPr>
                      <w:rFonts w:cs="Times New Roman"/>
                      <w:sz w:val="18"/>
                      <w:szCs w:val="18"/>
                    </w:rPr>
                    <w:t>标准值</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929" w:type="pct"/>
                  <w:vAlign w:val="center"/>
                </w:tcPr>
                <w:p>
                  <w:pPr>
                    <w:adjustRightInd w:val="0"/>
                    <w:snapToGrid w:val="0"/>
                    <w:jc w:val="center"/>
                    <w:rPr>
                      <w:rFonts w:cs="Times New Roman"/>
                      <w:sz w:val="18"/>
                      <w:szCs w:val="18"/>
                    </w:rPr>
                  </w:pPr>
                  <w:r>
                    <w:rPr>
                      <w:rFonts w:cs="Times New Roman"/>
                      <w:sz w:val="18"/>
                      <w:szCs w:val="18"/>
                    </w:rPr>
                    <w:t>GB 16297-1996</w:t>
                  </w:r>
                </w:p>
              </w:tc>
              <w:tc>
                <w:tcPr>
                  <w:tcW w:w="1358" w:type="pct"/>
                  <w:vAlign w:val="center"/>
                </w:tcPr>
                <w:p>
                  <w:pPr>
                    <w:adjustRightInd w:val="0"/>
                    <w:snapToGrid w:val="0"/>
                    <w:jc w:val="center"/>
                    <w:rPr>
                      <w:rFonts w:cs="Times New Roman"/>
                      <w:sz w:val="18"/>
                      <w:szCs w:val="18"/>
                    </w:rPr>
                  </w:pPr>
                  <w:r>
                    <w:rPr>
                      <w:rFonts w:cs="Times New Roman"/>
                      <w:sz w:val="18"/>
                      <w:szCs w:val="18"/>
                    </w:rPr>
                    <w:t>大气污染物综合排放标准</w:t>
                  </w:r>
                </w:p>
              </w:tc>
              <w:tc>
                <w:tcPr>
                  <w:tcW w:w="1436" w:type="pct"/>
                  <w:vAlign w:val="center"/>
                </w:tcPr>
                <w:p>
                  <w:pPr>
                    <w:adjustRightInd w:val="0"/>
                    <w:snapToGrid w:val="0"/>
                    <w:jc w:val="center"/>
                    <w:rPr>
                      <w:rFonts w:cs="Times New Roman"/>
                      <w:sz w:val="18"/>
                      <w:szCs w:val="18"/>
                    </w:rPr>
                  </w:pPr>
                  <w:r>
                    <w:rPr>
                      <w:rFonts w:cs="Times New Roman"/>
                      <w:sz w:val="18"/>
                      <w:szCs w:val="18"/>
                    </w:rPr>
                    <w:t>无组织排放监控浓度限值</w:t>
                  </w:r>
                </w:p>
              </w:tc>
              <w:tc>
                <w:tcPr>
                  <w:tcW w:w="676" w:type="pct"/>
                  <w:vAlign w:val="center"/>
                </w:tcPr>
                <w:p>
                  <w:pPr>
                    <w:adjustRightInd w:val="0"/>
                    <w:snapToGrid w:val="0"/>
                    <w:jc w:val="center"/>
                    <w:rPr>
                      <w:rFonts w:cs="Times New Roman"/>
                      <w:sz w:val="18"/>
                      <w:szCs w:val="18"/>
                    </w:rPr>
                  </w:pPr>
                  <w:r>
                    <w:rPr>
                      <w:rFonts w:cs="Times New Roman"/>
                      <w:sz w:val="18"/>
                      <w:szCs w:val="18"/>
                    </w:rPr>
                    <w:t>TSP</w:t>
                  </w:r>
                </w:p>
              </w:tc>
              <w:tc>
                <w:tcPr>
                  <w:tcW w:w="601" w:type="pct"/>
                  <w:vAlign w:val="center"/>
                </w:tcPr>
                <w:p>
                  <w:pPr>
                    <w:adjustRightInd w:val="0"/>
                    <w:snapToGrid w:val="0"/>
                    <w:jc w:val="center"/>
                    <w:rPr>
                      <w:rFonts w:cs="Times New Roman"/>
                      <w:sz w:val="18"/>
                      <w:szCs w:val="18"/>
                    </w:rPr>
                  </w:pPr>
                  <w:r>
                    <w:rPr>
                      <w:rFonts w:cs="Times New Roman"/>
                      <w:sz w:val="18"/>
                      <w:szCs w:val="18"/>
                    </w:rPr>
                    <w:t>1.0mg/m</w:t>
                  </w:r>
                  <w:r>
                    <w:rPr>
                      <w:rFonts w:cs="Times New Roman"/>
                      <w:sz w:val="18"/>
                      <w:szCs w:val="18"/>
                      <w:vertAlign w:val="superscript"/>
                    </w:rPr>
                    <w:t>3</w:t>
                  </w:r>
                </w:p>
              </w:tc>
            </w:tr>
          </w:tbl>
          <w:p>
            <w:pPr>
              <w:rPr>
                <w:rFonts w:eastAsia="黑体" w:cs="Times New Roman"/>
                <w:sz w:val="18"/>
                <w:szCs w:val="20"/>
                <w:highlight w:val="yellow"/>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812" w:hRule="atLeast"/>
          <w:jc w:val="center"/>
        </w:trPr>
        <w:tc>
          <w:tcPr>
            <w:tcW w:w="557" w:type="dxa"/>
            <w:vAlign w:val="center"/>
          </w:tcPr>
          <w:p>
            <w:pPr>
              <w:adjustRightInd w:val="0"/>
              <w:snapToGrid w:val="0"/>
              <w:jc w:val="center"/>
              <w:rPr>
                <w:rFonts w:eastAsia="黑体" w:cs="Times New Roman"/>
                <w:kern w:val="0"/>
                <w:szCs w:val="21"/>
              </w:rPr>
            </w:pPr>
            <w:r>
              <w:rPr>
                <w:rFonts w:eastAsia="黑体" w:cs="Times New Roman"/>
                <w:kern w:val="0"/>
                <w:szCs w:val="21"/>
              </w:rPr>
              <w:t>其</w:t>
            </w:r>
          </w:p>
          <w:p>
            <w:pPr>
              <w:adjustRightInd w:val="0"/>
              <w:snapToGrid w:val="0"/>
              <w:jc w:val="center"/>
              <w:rPr>
                <w:rFonts w:eastAsia="黑体" w:cs="Times New Roman"/>
                <w:kern w:val="0"/>
                <w:szCs w:val="21"/>
              </w:rPr>
            </w:pPr>
          </w:p>
          <w:p>
            <w:pPr>
              <w:adjustRightInd w:val="0"/>
              <w:snapToGrid w:val="0"/>
              <w:jc w:val="center"/>
              <w:rPr>
                <w:rFonts w:eastAsia="黑体" w:cs="Times New Roman"/>
                <w:kern w:val="0"/>
                <w:szCs w:val="21"/>
                <w:highlight w:val="yellow"/>
              </w:rPr>
            </w:pPr>
            <w:r>
              <w:rPr>
                <w:rFonts w:eastAsia="黑体" w:cs="Times New Roman"/>
                <w:kern w:val="0"/>
                <w:szCs w:val="21"/>
              </w:rPr>
              <w:t>他</w:t>
            </w:r>
          </w:p>
        </w:tc>
        <w:tc>
          <w:tcPr>
            <w:tcW w:w="8600" w:type="dxa"/>
          </w:tcPr>
          <w:p>
            <w:pPr>
              <w:pStyle w:val="4"/>
              <w:numPr>
                <w:ilvl w:val="1"/>
                <w:numId w:val="7"/>
              </w:numPr>
              <w:rPr>
                <w:rFonts w:ascii="Times New Roman" w:hAnsi="Times New Roman" w:cs="Times New Roman"/>
              </w:rPr>
            </w:pPr>
            <w:bookmarkStart w:id="21" w:name="_Toc474748246"/>
            <w:bookmarkStart w:id="22" w:name="_Toc471983558"/>
            <w:bookmarkStart w:id="23" w:name="_Toc471736835"/>
            <w:bookmarkStart w:id="24" w:name="_Toc350151544"/>
            <w:r>
              <w:rPr>
                <w:rFonts w:ascii="Times New Roman" w:hAnsi="Times New Roman" w:cs="Times New Roman"/>
              </w:rPr>
              <w:t>评价范围</w:t>
            </w:r>
            <w:bookmarkEnd w:id="21"/>
            <w:bookmarkEnd w:id="22"/>
            <w:bookmarkEnd w:id="23"/>
            <w:bookmarkEnd w:id="24"/>
          </w:p>
          <w:p>
            <w:pPr>
              <w:keepNext/>
              <w:keepLines/>
              <w:numPr>
                <w:ilvl w:val="2"/>
                <w:numId w:val="0"/>
              </w:numPr>
              <w:snapToGrid w:val="0"/>
              <w:spacing w:line="360" w:lineRule="auto"/>
              <w:ind w:left="57" w:hanging="57"/>
              <w:jc w:val="both"/>
              <w:outlineLvl w:val="3"/>
              <w:rPr>
                <w:rFonts w:eastAsia="黑体" w:cs="Times New Roman"/>
                <w:szCs w:val="28"/>
              </w:rPr>
            </w:pPr>
            <w:r>
              <w:rPr>
                <w:rFonts w:eastAsia="黑体" w:cs="Times New Roman"/>
                <w:szCs w:val="28"/>
              </w:rPr>
              <w:t>11.1  电磁环境</w:t>
            </w:r>
          </w:p>
          <w:p>
            <w:pPr>
              <w:snapToGrid w:val="0"/>
              <w:spacing w:line="360" w:lineRule="auto"/>
              <w:ind w:firstLine="420" w:firstLineChars="200"/>
              <w:jc w:val="both"/>
              <w:rPr>
                <w:rFonts w:cs="Times New Roman"/>
                <w:szCs w:val="21"/>
              </w:rPr>
            </w:pPr>
            <w:r>
              <w:rPr>
                <w:rFonts w:cs="Times New Roman"/>
                <w:szCs w:val="21"/>
              </w:rPr>
              <w:t>根据《环境影响评价技术导则 输变电》（HJ 24-2020），本</w:t>
            </w:r>
            <w:r>
              <w:rPr>
                <w:rFonts w:hint="eastAsia" w:cs="Times New Roman"/>
                <w:szCs w:val="21"/>
              </w:rPr>
              <w:t>项目</w:t>
            </w:r>
            <w:r>
              <w:rPr>
                <w:rFonts w:cs="Times New Roman"/>
                <w:szCs w:val="21"/>
              </w:rPr>
              <w:t>电磁环境评价范围为</w:t>
            </w:r>
            <w:r>
              <w:rPr>
                <w:rFonts w:hint="eastAsia" w:cs="Times New Roman"/>
                <w:szCs w:val="21"/>
              </w:rPr>
              <w:t>拟建</w:t>
            </w:r>
            <w:r>
              <w:rPr>
                <w:rFonts w:cs="Times New Roman"/>
                <w:szCs w:val="21"/>
              </w:rPr>
              <w:t>架空线路边导线地面投影外两侧各</w:t>
            </w:r>
            <w:r>
              <w:rPr>
                <w:rFonts w:hint="eastAsia" w:cs="Times New Roman"/>
                <w:szCs w:val="21"/>
              </w:rPr>
              <w:t>3</w:t>
            </w:r>
            <w:r>
              <w:rPr>
                <w:rFonts w:cs="Times New Roman"/>
                <w:szCs w:val="21"/>
              </w:rPr>
              <w:t>0m。</w:t>
            </w:r>
          </w:p>
          <w:p>
            <w:pPr>
              <w:keepNext/>
              <w:keepLines/>
              <w:numPr>
                <w:ilvl w:val="2"/>
                <w:numId w:val="0"/>
              </w:numPr>
              <w:snapToGrid w:val="0"/>
              <w:spacing w:line="360" w:lineRule="auto"/>
              <w:ind w:left="57" w:hanging="57"/>
              <w:jc w:val="both"/>
              <w:outlineLvl w:val="3"/>
              <w:rPr>
                <w:rFonts w:eastAsia="黑体" w:cs="Times New Roman"/>
                <w:szCs w:val="28"/>
              </w:rPr>
            </w:pPr>
            <w:r>
              <w:rPr>
                <w:rFonts w:eastAsia="黑体" w:cs="Times New Roman"/>
                <w:szCs w:val="28"/>
              </w:rPr>
              <w:t>11.2  声环境</w:t>
            </w:r>
          </w:p>
          <w:p>
            <w:pPr>
              <w:pStyle w:val="24"/>
              <w:snapToGrid w:val="0"/>
              <w:ind w:firstLine="420"/>
              <w:rPr>
                <w:rFonts w:cs="Times New Roman"/>
              </w:rPr>
            </w:pPr>
            <w:r>
              <w:rPr>
                <w:rFonts w:cs="Times New Roman"/>
              </w:rPr>
              <w:t>根据《环境影响评价技术导则 声环境》（HJ 2.4-2021）和《环境影响评价技术导则 输变电》（HJ 24-2020），并结合工程特点确定本</w:t>
            </w:r>
            <w:r>
              <w:rPr>
                <w:rFonts w:hint="eastAsia" w:cs="Times New Roman"/>
              </w:rPr>
              <w:t>项目</w:t>
            </w:r>
            <w:r>
              <w:rPr>
                <w:rFonts w:cs="Times New Roman"/>
              </w:rPr>
              <w:t>声环境评价范围为：</w:t>
            </w:r>
            <w:r>
              <w:rPr>
                <w:rFonts w:hint="eastAsia" w:cs="Times New Roman"/>
              </w:rPr>
              <w:t>拟建</w:t>
            </w:r>
            <w:r>
              <w:rPr>
                <w:rFonts w:cs="Times New Roman"/>
              </w:rPr>
              <w:t>架空输电线路边导线两侧地面投影外</w:t>
            </w:r>
            <w:r>
              <w:rPr>
                <w:rFonts w:hint="eastAsia" w:cs="Times New Roman"/>
              </w:rPr>
              <w:t>3</w:t>
            </w:r>
            <w:r>
              <w:rPr>
                <w:rFonts w:cs="Times New Roman"/>
              </w:rPr>
              <w:t>0m范围内带状区域。</w:t>
            </w:r>
          </w:p>
          <w:p>
            <w:pPr>
              <w:keepNext/>
              <w:keepLines/>
              <w:numPr>
                <w:ilvl w:val="2"/>
                <w:numId w:val="0"/>
              </w:numPr>
              <w:snapToGrid w:val="0"/>
              <w:spacing w:line="360" w:lineRule="auto"/>
              <w:ind w:left="57" w:hanging="57"/>
              <w:jc w:val="both"/>
              <w:outlineLvl w:val="3"/>
              <w:rPr>
                <w:rFonts w:eastAsia="黑体" w:cs="Times New Roman"/>
                <w:szCs w:val="28"/>
              </w:rPr>
            </w:pPr>
            <w:r>
              <w:rPr>
                <w:rFonts w:eastAsia="黑体" w:cs="Times New Roman"/>
                <w:szCs w:val="28"/>
              </w:rPr>
              <w:t>11.3  生态环境</w:t>
            </w:r>
          </w:p>
          <w:p>
            <w:pPr>
              <w:snapToGrid w:val="0"/>
              <w:spacing w:line="360" w:lineRule="auto"/>
              <w:ind w:firstLine="420" w:firstLineChars="200"/>
              <w:jc w:val="both"/>
              <w:rPr>
                <w:highlight w:val="yellow"/>
              </w:rPr>
            </w:pPr>
            <w:r>
              <w:rPr>
                <w:rFonts w:cs="Times New Roman"/>
                <w:szCs w:val="21"/>
              </w:rPr>
              <w:t>参照《环境影响评价技术导则 输变电》（HJ 24-2020）要求，并结合工程特点，确定本</w:t>
            </w:r>
            <w:r>
              <w:rPr>
                <w:rFonts w:hint="eastAsia" w:cs="Times New Roman"/>
                <w:szCs w:val="21"/>
              </w:rPr>
              <w:t>项目</w:t>
            </w:r>
            <w:r>
              <w:rPr>
                <w:rFonts w:cs="Times New Roman"/>
                <w:szCs w:val="21"/>
              </w:rPr>
              <w:t>生态评价范围为：</w:t>
            </w:r>
            <w:r>
              <w:rPr>
                <w:rFonts w:hint="eastAsia" w:cs="Times New Roman"/>
                <w:szCs w:val="21"/>
              </w:rPr>
              <w:t>拟建</w:t>
            </w:r>
            <w:r>
              <w:rPr>
                <w:rFonts w:cs="Times New Roman"/>
                <w:szCs w:val="21"/>
              </w:rPr>
              <w:t>输电线路边导线地面投影外300m范围内带状区域。</w:t>
            </w:r>
          </w:p>
        </w:tc>
      </w:tr>
    </w:tbl>
    <w:p>
      <w:pPr>
        <w:pStyle w:val="3"/>
        <w:rPr>
          <w:color w:val="auto"/>
          <w:highlight w:val="yellow"/>
        </w:rPr>
        <w:sectPr>
          <w:pgSz w:w="11906" w:h="16838"/>
          <w:pgMar w:top="1418" w:right="1418" w:bottom="1418" w:left="1418" w:header="851" w:footer="992" w:gutter="0"/>
          <w:cols w:space="425" w:num="1"/>
          <w:docGrid w:type="lines" w:linePitch="312" w:charSpace="0"/>
        </w:sectPr>
      </w:pPr>
      <w:bookmarkStart w:id="25" w:name="_Toc69466521"/>
    </w:p>
    <w:p>
      <w:pPr>
        <w:pStyle w:val="3"/>
        <w:rPr>
          <w:color w:val="auto"/>
        </w:rPr>
      </w:pPr>
      <w:bookmarkStart w:id="26" w:name="_Toc103786369"/>
      <w:r>
        <w:rPr>
          <w:color w:val="auto"/>
        </w:rPr>
        <w:t>四、生态环境影响分析</w:t>
      </w:r>
      <w:bookmarkEnd w:id="25"/>
      <w:bookmarkEnd w:id="26"/>
    </w:p>
    <w:tbl>
      <w:tblPr>
        <w:tblStyle w:val="25"/>
        <w:tblW w:w="504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423"/>
        <w:gridCol w:w="88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534" w:hRule="atLeast"/>
          <w:jc w:val="center"/>
        </w:trPr>
        <w:tc>
          <w:tcPr>
            <w:tcW w:w="229" w:type="pct"/>
            <w:tcMar>
              <w:left w:w="28" w:type="dxa"/>
              <w:right w:w="28" w:type="dxa"/>
            </w:tcMar>
            <w:vAlign w:val="center"/>
          </w:tcPr>
          <w:p>
            <w:pPr>
              <w:adjustRightInd w:val="0"/>
              <w:snapToGrid w:val="0"/>
              <w:jc w:val="center"/>
              <w:rPr>
                <w:rFonts w:eastAsia="黑体" w:cs="Times New Roman"/>
                <w:bCs/>
                <w:spacing w:val="10"/>
                <w:szCs w:val="21"/>
              </w:rPr>
            </w:pPr>
            <w:bookmarkStart w:id="27" w:name="_Hlk49796138"/>
            <w:r>
              <w:rPr>
                <w:rFonts w:eastAsia="黑体" w:cs="Times New Roman"/>
                <w:bCs/>
                <w:spacing w:val="10"/>
                <w:szCs w:val="21"/>
              </w:rPr>
              <w:t>施</w:t>
            </w:r>
          </w:p>
          <w:p>
            <w:pPr>
              <w:adjustRightInd w:val="0"/>
              <w:snapToGrid w:val="0"/>
              <w:jc w:val="center"/>
              <w:rPr>
                <w:rFonts w:eastAsia="黑体" w:cs="Times New Roman"/>
                <w:bCs/>
                <w:spacing w:val="10"/>
                <w:szCs w:val="21"/>
              </w:rPr>
            </w:pPr>
            <w:r>
              <w:rPr>
                <w:rFonts w:eastAsia="黑体" w:cs="Times New Roman"/>
                <w:bCs/>
                <w:spacing w:val="10"/>
                <w:szCs w:val="21"/>
              </w:rPr>
              <w:t>工</w:t>
            </w:r>
          </w:p>
          <w:p>
            <w:pPr>
              <w:adjustRightInd w:val="0"/>
              <w:snapToGrid w:val="0"/>
              <w:jc w:val="center"/>
              <w:rPr>
                <w:rFonts w:eastAsia="黑体" w:cs="Times New Roman"/>
                <w:bCs/>
                <w:spacing w:val="10"/>
                <w:szCs w:val="21"/>
              </w:rPr>
            </w:pPr>
            <w:r>
              <w:rPr>
                <w:rFonts w:eastAsia="黑体" w:cs="Times New Roman"/>
                <w:bCs/>
                <w:spacing w:val="10"/>
                <w:szCs w:val="21"/>
              </w:rPr>
              <w:t>期</w:t>
            </w:r>
          </w:p>
          <w:p>
            <w:pPr>
              <w:adjustRightInd w:val="0"/>
              <w:snapToGrid w:val="0"/>
              <w:jc w:val="center"/>
              <w:rPr>
                <w:rFonts w:eastAsia="黑体" w:cs="Times New Roman"/>
                <w:bCs/>
                <w:spacing w:val="10"/>
                <w:szCs w:val="21"/>
              </w:rPr>
            </w:pPr>
            <w:r>
              <w:rPr>
                <w:rFonts w:eastAsia="黑体" w:cs="Times New Roman"/>
                <w:bCs/>
                <w:spacing w:val="10"/>
                <w:szCs w:val="21"/>
              </w:rPr>
              <w:t>生</w:t>
            </w:r>
          </w:p>
          <w:p>
            <w:pPr>
              <w:adjustRightInd w:val="0"/>
              <w:snapToGrid w:val="0"/>
              <w:jc w:val="center"/>
              <w:rPr>
                <w:rFonts w:eastAsia="黑体" w:cs="Times New Roman"/>
                <w:bCs/>
                <w:spacing w:val="10"/>
                <w:szCs w:val="21"/>
              </w:rPr>
            </w:pPr>
            <w:r>
              <w:rPr>
                <w:rFonts w:eastAsia="黑体" w:cs="Times New Roman"/>
                <w:bCs/>
                <w:spacing w:val="10"/>
                <w:szCs w:val="21"/>
              </w:rPr>
              <w:t>态</w:t>
            </w:r>
          </w:p>
          <w:p>
            <w:pPr>
              <w:adjustRightInd w:val="0"/>
              <w:snapToGrid w:val="0"/>
              <w:jc w:val="center"/>
              <w:rPr>
                <w:rFonts w:eastAsia="黑体" w:cs="Times New Roman"/>
                <w:bCs/>
                <w:spacing w:val="10"/>
                <w:szCs w:val="21"/>
              </w:rPr>
            </w:pPr>
            <w:r>
              <w:rPr>
                <w:rFonts w:eastAsia="黑体" w:cs="Times New Roman"/>
                <w:bCs/>
                <w:spacing w:val="10"/>
                <w:szCs w:val="21"/>
              </w:rPr>
              <w:t>环</w:t>
            </w:r>
          </w:p>
          <w:p>
            <w:pPr>
              <w:adjustRightInd w:val="0"/>
              <w:snapToGrid w:val="0"/>
              <w:jc w:val="center"/>
              <w:rPr>
                <w:rFonts w:eastAsia="黑体" w:cs="Times New Roman"/>
                <w:bCs/>
                <w:spacing w:val="10"/>
                <w:szCs w:val="21"/>
              </w:rPr>
            </w:pPr>
            <w:r>
              <w:rPr>
                <w:rFonts w:eastAsia="黑体" w:cs="Times New Roman"/>
                <w:bCs/>
                <w:spacing w:val="10"/>
                <w:szCs w:val="21"/>
              </w:rPr>
              <w:t>境</w:t>
            </w:r>
          </w:p>
          <w:p>
            <w:pPr>
              <w:adjustRightInd w:val="0"/>
              <w:snapToGrid w:val="0"/>
              <w:jc w:val="center"/>
              <w:rPr>
                <w:rFonts w:eastAsia="黑体" w:cs="Times New Roman"/>
                <w:bCs/>
                <w:spacing w:val="10"/>
                <w:szCs w:val="21"/>
              </w:rPr>
            </w:pPr>
            <w:r>
              <w:rPr>
                <w:rFonts w:eastAsia="黑体" w:cs="Times New Roman"/>
                <w:bCs/>
                <w:spacing w:val="10"/>
                <w:szCs w:val="21"/>
              </w:rPr>
              <w:t>影</w:t>
            </w:r>
          </w:p>
          <w:p>
            <w:pPr>
              <w:adjustRightInd w:val="0"/>
              <w:snapToGrid w:val="0"/>
              <w:jc w:val="center"/>
              <w:rPr>
                <w:rFonts w:eastAsia="黑体" w:cs="Times New Roman"/>
                <w:bCs/>
                <w:spacing w:val="10"/>
                <w:szCs w:val="21"/>
              </w:rPr>
            </w:pPr>
            <w:r>
              <w:rPr>
                <w:rFonts w:eastAsia="黑体" w:cs="Times New Roman"/>
                <w:bCs/>
                <w:spacing w:val="10"/>
                <w:szCs w:val="21"/>
              </w:rPr>
              <w:t>响</w:t>
            </w:r>
          </w:p>
          <w:p>
            <w:pPr>
              <w:adjustRightInd w:val="0"/>
              <w:snapToGrid w:val="0"/>
              <w:jc w:val="center"/>
              <w:rPr>
                <w:rFonts w:eastAsia="黑体" w:cs="Times New Roman"/>
                <w:bCs/>
                <w:spacing w:val="10"/>
                <w:szCs w:val="21"/>
              </w:rPr>
            </w:pPr>
            <w:r>
              <w:rPr>
                <w:rFonts w:eastAsia="黑体" w:cs="Times New Roman"/>
                <w:bCs/>
                <w:spacing w:val="10"/>
                <w:szCs w:val="21"/>
              </w:rPr>
              <w:t>分</w:t>
            </w:r>
          </w:p>
          <w:p>
            <w:pPr>
              <w:adjustRightInd w:val="0"/>
              <w:snapToGrid w:val="0"/>
              <w:jc w:val="center"/>
              <w:rPr>
                <w:rFonts w:eastAsia="黑体" w:cs="Times New Roman"/>
                <w:bCs/>
                <w:szCs w:val="21"/>
                <w:highlight w:val="yellow"/>
              </w:rPr>
            </w:pPr>
            <w:r>
              <w:rPr>
                <w:rFonts w:eastAsia="黑体" w:cs="Times New Roman"/>
                <w:bCs/>
                <w:spacing w:val="10"/>
                <w:szCs w:val="21"/>
              </w:rPr>
              <w:t>析</w:t>
            </w:r>
            <w:bookmarkEnd w:id="27"/>
          </w:p>
        </w:tc>
        <w:tc>
          <w:tcPr>
            <w:tcW w:w="4770" w:type="pct"/>
          </w:tcPr>
          <w:p>
            <w:pPr>
              <w:keepLines/>
              <w:numPr>
                <w:ilvl w:val="0"/>
                <w:numId w:val="8"/>
              </w:numPr>
              <w:spacing w:line="360" w:lineRule="auto"/>
              <w:outlineLvl w:val="1"/>
              <w:rPr>
                <w:rFonts w:eastAsia="黑体" w:cs="Times New Roman"/>
                <w:bCs/>
                <w:szCs w:val="32"/>
              </w:rPr>
            </w:pPr>
            <w:r>
              <w:rPr>
                <w:rFonts w:eastAsia="黑体" w:cs="Times New Roman"/>
                <w:bCs/>
                <w:szCs w:val="32"/>
              </w:rPr>
              <w:t>施工期工艺流程与产污环节</w:t>
            </w:r>
          </w:p>
          <w:p>
            <w:pPr>
              <w:spacing w:line="360" w:lineRule="auto"/>
              <w:ind w:firstLine="420" w:firstLineChars="200"/>
              <w:rPr>
                <w:rFonts w:cs="Times New Roman"/>
                <w:szCs w:val="21"/>
              </w:rPr>
            </w:pPr>
            <w:r>
              <w:rPr>
                <w:rFonts w:cs="Times New Roman"/>
                <w:szCs w:val="21"/>
              </w:rPr>
              <w:t>本</w:t>
            </w:r>
            <w:r>
              <w:rPr>
                <w:rFonts w:hint="eastAsia" w:cs="Times New Roman"/>
                <w:szCs w:val="21"/>
              </w:rPr>
              <w:t>项目</w:t>
            </w:r>
            <w:r>
              <w:rPr>
                <w:rFonts w:cs="Times New Roman"/>
                <w:szCs w:val="21"/>
              </w:rPr>
              <w:t>施工期工艺流程与产污环节示意图见图4.1-1。</w:t>
            </w:r>
          </w:p>
          <w:p>
            <w:pPr>
              <w:jc w:val="center"/>
              <w:rPr>
                <w:rFonts w:eastAsia="黑体"/>
                <w:sz w:val="24"/>
              </w:rPr>
            </w:pPr>
            <w:r>
              <mc:AlternateContent>
                <mc:Choice Requires="wpc">
                  <w:drawing>
                    <wp:inline distT="0" distB="0" distL="114300" distR="114300">
                      <wp:extent cx="4991735" cy="1329690"/>
                      <wp:effectExtent l="0" t="0" r="18415" b="22860"/>
                      <wp:docPr id="37" name="画布 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 name="文本框 2"/>
                              <wps:cNvSpPr txBox="1"/>
                              <wps:spPr>
                                <a:xfrm>
                                  <a:off x="4077335" y="645160"/>
                                  <a:ext cx="914400" cy="650875"/>
                                </a:xfrm>
                                <a:prstGeom prst="rect">
                                  <a:avLst/>
                                </a:prstGeom>
                                <a:no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铁塔组装及导线架设</w:t>
                                    </w:r>
                                  </w:p>
                                </w:txbxContent>
                              </wps:txbx>
                              <wps:bodyPr lIns="86868" tIns="43434" rIns="86868" bIns="43434" upright="1"/>
                            </wps:wsp>
                            <wps:wsp>
                              <wps:cNvPr id="8" name="直接箭头连接符 8"/>
                              <wps:cNvCnPr/>
                              <wps:spPr>
                                <a:xfrm>
                                  <a:off x="1497965" y="951230"/>
                                  <a:ext cx="357505" cy="635"/>
                                </a:xfrm>
                                <a:prstGeom prst="straightConnector1">
                                  <a:avLst/>
                                </a:prstGeom>
                                <a:ln w="9525" cap="flat" cmpd="sng">
                                  <a:solidFill>
                                    <a:srgbClr val="000000"/>
                                  </a:solidFill>
                                  <a:prstDash val="solid"/>
                                  <a:headEnd type="none" w="med" len="med"/>
                                  <a:tailEnd type="triangle" w="med" len="med"/>
                                </a:ln>
                              </wps:spPr>
                              <wps:bodyPr/>
                            </wps:wsp>
                            <wps:wsp>
                              <wps:cNvPr id="9" name="文本框 9"/>
                              <wps:cNvSpPr txBox="1"/>
                              <wps:spPr>
                                <a:xfrm>
                                  <a:off x="316865" y="0"/>
                                  <a:ext cx="1390650" cy="281940"/>
                                </a:xfrm>
                                <a:prstGeom prst="rect">
                                  <a:avLst/>
                                </a:prstGeom>
                                <a:noFill/>
                                <a:ln w="9525" cap="flat" cmpd="sng">
                                  <a:solidFill>
                                    <a:srgbClr val="000000"/>
                                  </a:solidFill>
                                  <a:prstDash val="dash"/>
                                  <a:miter/>
                                  <a:headEnd type="none" w="med" len="med"/>
                                  <a:tailEnd type="none" w="med" len="med"/>
                                </a:ln>
                              </wps:spPr>
                              <wps:txbx>
                                <w:txbxContent>
                                  <w:p>
                                    <w:pPr>
                                      <w:jc w:val="center"/>
                                      <w:rPr>
                                        <w:sz w:val="18"/>
                                        <w:szCs w:val="18"/>
                                      </w:rPr>
                                    </w:pPr>
                                    <w:r>
                                      <w:rPr>
                                        <w:rFonts w:hint="eastAsia"/>
                                        <w:sz w:val="18"/>
                                        <w:szCs w:val="18"/>
                                      </w:rPr>
                                      <w:t>噪声、扬尘</w:t>
                                    </w:r>
                                  </w:p>
                                </w:txbxContent>
                              </wps:txbx>
                              <wps:bodyPr lIns="86868" tIns="43434" rIns="86868" bIns="43434" upright="1"/>
                            </wps:wsp>
                            <wps:wsp>
                              <wps:cNvPr id="11" name="文本框 11"/>
                              <wps:cNvSpPr txBox="1"/>
                              <wps:spPr>
                                <a:xfrm>
                                  <a:off x="2036445" y="15240"/>
                                  <a:ext cx="2666365" cy="281305"/>
                                </a:xfrm>
                                <a:prstGeom prst="rect">
                                  <a:avLst/>
                                </a:prstGeom>
                                <a:noFill/>
                                <a:ln w="9525" cap="flat" cmpd="sng">
                                  <a:solidFill>
                                    <a:srgbClr val="404040"/>
                                  </a:solidFill>
                                  <a:prstDash val="dash"/>
                                  <a:miter/>
                                  <a:headEnd type="none" w="med" len="med"/>
                                  <a:tailEnd type="none" w="med" len="med"/>
                                </a:ln>
                              </wps:spPr>
                              <wps:txbx>
                                <w:txbxContent>
                                  <w:p>
                                    <w:pPr>
                                      <w:jc w:val="center"/>
                                      <w:rPr>
                                        <w:sz w:val="18"/>
                                        <w:szCs w:val="18"/>
                                      </w:rPr>
                                    </w:pPr>
                                    <w:r>
                                      <w:rPr>
                                        <w:rFonts w:hint="eastAsia"/>
                                        <w:sz w:val="18"/>
                                        <w:szCs w:val="18"/>
                                      </w:rPr>
                                      <w:t>噪声、扬尘、废污水、固体废物、生态影响</w:t>
                                    </w:r>
                                  </w:p>
                                </w:txbxContent>
                              </wps:txbx>
                              <wps:bodyPr lIns="86868" tIns="43434" rIns="86868" bIns="43434" upright="1"/>
                            </wps:wsp>
                            <wps:wsp>
                              <wps:cNvPr id="12" name="直接箭头连接符 12"/>
                              <wps:cNvCnPr/>
                              <wps:spPr>
                                <a:xfrm flipV="1">
                                  <a:off x="1012825" y="281940"/>
                                  <a:ext cx="635" cy="527685"/>
                                </a:xfrm>
                                <a:prstGeom prst="straightConnector1">
                                  <a:avLst/>
                                </a:prstGeom>
                                <a:ln w="9525" cap="flat" cmpd="sng">
                                  <a:solidFill>
                                    <a:srgbClr val="404040"/>
                                  </a:solidFill>
                                  <a:prstDash val="dash"/>
                                  <a:headEnd type="none" w="med" len="med"/>
                                  <a:tailEnd type="triangle" w="med" len="med"/>
                                </a:ln>
                              </wps:spPr>
                              <wps:bodyPr/>
                            </wps:wsp>
                            <wps:wsp>
                              <wps:cNvPr id="19" name="直接箭头连接符 19"/>
                              <wps:cNvCnPr/>
                              <wps:spPr>
                                <a:xfrm flipH="1" flipV="1">
                                  <a:off x="3195320" y="296545"/>
                                  <a:ext cx="956310" cy="320040"/>
                                </a:xfrm>
                                <a:prstGeom prst="straightConnector1">
                                  <a:avLst/>
                                </a:prstGeom>
                                <a:ln w="3175" cap="flat" cmpd="sng">
                                  <a:solidFill>
                                    <a:srgbClr val="000000"/>
                                  </a:solidFill>
                                  <a:prstDash val="dash"/>
                                  <a:headEnd type="none" w="med" len="med"/>
                                  <a:tailEnd type="triangle" w="med" len="med"/>
                                </a:ln>
                              </wps:spPr>
                              <wps:bodyPr/>
                            </wps:wsp>
                            <wps:wsp>
                              <wps:cNvPr id="29" name="文本框 29"/>
                              <wps:cNvSpPr txBox="1"/>
                              <wps:spPr>
                                <a:xfrm>
                                  <a:off x="1855470" y="753745"/>
                                  <a:ext cx="840160" cy="575945"/>
                                </a:xfrm>
                                <a:prstGeom prst="rect">
                                  <a:avLst/>
                                </a:prstGeom>
                                <a:noFill/>
                                <a:ln w="9525" cap="flat" cmpd="sng">
                                  <a:solidFill>
                                    <a:srgbClr val="000000"/>
                                  </a:solidFill>
                                  <a:prstDash val="solid"/>
                                  <a:miter/>
                                  <a:headEnd type="none" w="med" len="med"/>
                                  <a:tailEnd type="none" w="med" len="med"/>
                                </a:ln>
                              </wps:spPr>
                              <wps:txbx>
                                <w:txbxContent>
                                  <w:p>
                                    <w:pPr>
                                      <w:rPr>
                                        <w:sz w:val="18"/>
                                        <w:szCs w:val="18"/>
                                      </w:rPr>
                                    </w:pPr>
                                    <w:r>
                                      <w:rPr>
                                        <w:rFonts w:hint="eastAsia"/>
                                        <w:sz w:val="18"/>
                                        <w:szCs w:val="18"/>
                                      </w:rPr>
                                      <w:t>导、地线、杆塔拆除</w:t>
                                    </w:r>
                                  </w:p>
                                </w:txbxContent>
                              </wps:txbx>
                              <wps:bodyPr lIns="86868" tIns="43434" rIns="86868" bIns="43434" upright="1"/>
                            </wps:wsp>
                            <wps:wsp>
                              <wps:cNvPr id="30" name="直接箭头连接符 30"/>
                              <wps:cNvCnPr/>
                              <wps:spPr>
                                <a:xfrm flipV="1">
                                  <a:off x="2446655" y="287020"/>
                                  <a:ext cx="748665" cy="532130"/>
                                </a:xfrm>
                                <a:prstGeom prst="straightConnector1">
                                  <a:avLst/>
                                </a:prstGeom>
                                <a:ln w="3175" cap="flat" cmpd="sng">
                                  <a:solidFill>
                                    <a:srgbClr val="000000"/>
                                  </a:solidFill>
                                  <a:prstDash val="dash"/>
                                  <a:headEnd type="none" w="med" len="med"/>
                                  <a:tailEnd type="triangle" w="med" len="med"/>
                                </a:ln>
                              </wps:spPr>
                              <wps:bodyPr/>
                            </wps:wsp>
                            <wps:wsp>
                              <wps:cNvPr id="31" name="文本框 31"/>
                              <wps:cNvSpPr txBox="1"/>
                              <wps:spPr>
                                <a:xfrm>
                                  <a:off x="71120" y="807720"/>
                                  <a:ext cx="1472260" cy="521970"/>
                                </a:xfrm>
                                <a:prstGeom prst="rect">
                                  <a:avLst/>
                                </a:prstGeom>
                                <a:no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施工准备（物料运输）</w:t>
                                    </w:r>
                                  </w:p>
                                </w:txbxContent>
                              </wps:txbx>
                              <wps:bodyPr lIns="86868" tIns="43434" rIns="86868" bIns="43434" upright="1"/>
                            </wps:wsp>
                            <wps:wsp>
                              <wps:cNvPr id="32" name="直接箭头连接符 32"/>
                              <wps:cNvCnPr/>
                              <wps:spPr>
                                <a:xfrm>
                                  <a:off x="2656205" y="951865"/>
                                  <a:ext cx="357505" cy="635"/>
                                </a:xfrm>
                                <a:prstGeom prst="straightConnector1">
                                  <a:avLst/>
                                </a:prstGeom>
                                <a:ln w="9525" cap="flat" cmpd="sng">
                                  <a:solidFill>
                                    <a:srgbClr val="000000"/>
                                  </a:solidFill>
                                  <a:prstDash val="solid"/>
                                  <a:headEnd type="none" w="med" len="med"/>
                                  <a:tailEnd type="triangle" w="med" len="med"/>
                                </a:ln>
                              </wps:spPr>
                              <wps:bodyPr/>
                            </wps:wsp>
                            <wps:wsp>
                              <wps:cNvPr id="34" name="文本框 34"/>
                              <wps:cNvSpPr txBox="1"/>
                              <wps:spPr>
                                <a:xfrm>
                                  <a:off x="2989580" y="807085"/>
                                  <a:ext cx="861060" cy="324485"/>
                                </a:xfrm>
                                <a:prstGeom prst="rect">
                                  <a:avLst/>
                                </a:prstGeom>
                                <a:no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基础施工</w:t>
                                    </w:r>
                                  </w:p>
                                </w:txbxContent>
                              </wps:txbx>
                              <wps:bodyPr lIns="86868" tIns="43434" rIns="86868" bIns="43434" upright="1"/>
                            </wps:wsp>
                            <wps:wsp>
                              <wps:cNvPr id="35" name="直接箭头连接符 35"/>
                              <wps:cNvCnPr/>
                              <wps:spPr>
                                <a:xfrm flipV="1">
                                  <a:off x="3827780" y="957580"/>
                                  <a:ext cx="271780" cy="3175"/>
                                </a:xfrm>
                                <a:prstGeom prst="straightConnector1">
                                  <a:avLst/>
                                </a:prstGeom>
                                <a:ln w="9525" cap="flat" cmpd="sng">
                                  <a:solidFill>
                                    <a:srgbClr val="000000"/>
                                  </a:solidFill>
                                  <a:prstDash val="solid"/>
                                  <a:headEnd type="none" w="med" len="med"/>
                                  <a:tailEnd type="triangle" w="med" len="med"/>
                                </a:ln>
                              </wps:spPr>
                              <wps:bodyPr/>
                            </wps:wsp>
                            <wps:wsp>
                              <wps:cNvPr id="36" name="直接箭头连接符 36"/>
                              <wps:cNvCnPr/>
                              <wps:spPr>
                                <a:xfrm flipH="1" flipV="1">
                                  <a:off x="3195955" y="293370"/>
                                  <a:ext cx="219075" cy="514985"/>
                                </a:xfrm>
                                <a:prstGeom prst="straightConnector1">
                                  <a:avLst/>
                                </a:prstGeom>
                                <a:ln w="3175" cap="flat" cmpd="sng">
                                  <a:solidFill>
                                    <a:srgbClr val="000000"/>
                                  </a:solidFill>
                                  <a:prstDash val="dash"/>
                                  <a:headEnd type="none" w="med" len="med"/>
                                  <a:tailEnd type="triangle" w="med" len="med"/>
                                </a:ln>
                              </wps:spPr>
                              <wps:bodyPr/>
                            </wps:wsp>
                          </wpc:wpc>
                        </a:graphicData>
                      </a:graphic>
                    </wp:inline>
                  </w:drawing>
                </mc:Choice>
                <mc:Fallback>
                  <w:pict>
                    <v:group id="_x0000_s1026" o:spid="_x0000_s1026" o:spt="203" style="height:104.7pt;width:393.05pt;" coordsize="4991735,1329690" editas="canvas" o:gfxdata="UEsDBAoAAAAAAIdO4kAAAAAAAAAAAAAAAAAEAAAAZHJzL1BLAwQUAAAACACHTuJAuVpCptcAAAAF&#10;AQAADwAAAGRycy9kb3ducmV2LnhtbE2PQUvDQBCF74L/YRnBi9jdFKltzKSHglhEKE1tz9vsmASz&#10;s2l2m9R/7+pFLwOP93jvm2x5sa0YqPeNY4RkokAQl840XCG8757v5yB80Gx065gQvsjDMr++ynRq&#10;3MhbGopQiVjCPtUIdQhdKqUva7LaT1xHHL0P11sdouwraXo9xnLbyqlSM2l1w3Gh1h2taio/i7NF&#10;GMvNcNi9vcjN3WHt+LQ+rYr9K+LtTaKeQAS6hL8w/OBHdMgj09Gd2XjRIsRHwu+N3uN8loA4IkzV&#10;4gFknsn/9Pk3UEsDBBQAAAAIAIdO4kAZ4iXtLQUAAHsgAAAOAAAAZHJzL2Uyb0RvYy54bWztmk1v&#10;40QYx+9IfAfLdxrPjN8maroS7W5BQrDSAvep32LJbxq7TXpGghsnxIXVSkjAaeG0ByQOfJpt+Rg8&#10;z4wdp2le2qBGuzQbKZ3MjMfjxz//nxfv4ZNpnhkXkazTshiZ5MAyjagIyjAtkpH51ZfPPvJNo25E&#10;EYqsLKKReRnV5pOjDz84nFTDiJbjMgsjacAiRT2cVCNz3DTVcDCog3GUi/qgrKICBuNS5qKBnzIZ&#10;hFJMYPU8G1DLcgeTUoaVLIOorqH3RA+aR2r9OI6C5os4rqPGyEYm7K1R31J9n+H34OhQDBMpqnEa&#10;tNsQW+wiF2kBJ50tdSIaYZzL9NZSeRrIsi7j5iAo80EZx2kQqWuAqyHWwtWcyvK8UteSDCdJNTMT&#10;mHbBTlsvG3x+8VwaaTgymWcahcjhHl3/8NfbP78xoAOsM6mSIUw6ldWL6rlsOxL9Cy94Gssc/8Kl&#10;GFNl18uZXaNpYwTQaXNOPOaYRgBjhFHu8tbywRhuz63jgvHTDUcOuhMPcH+z7UwqoKjuDVX/N0O9&#10;GIsqUvav0QatoWhnp6sfv7t6+frq528Nqi2lZqGZjGb6cQkXTrr+GjqXWMu2PI+hYcAuru0QtzVL&#10;ZzhObNsCbNFurmP5noMLzi5eDCtZN6dRmRvYGJkSeFcYiovP6kZP7abg6YvyWZpl0C+GWWFMRiZ3&#10;KN4WAU9enIkGmnkFLNRFopapyywN8RA8opbJ2XEmjQuBz5L61+7mxjQ834mox3qeGsJpYpinTSRV&#10;axyJ8GkRGs1lBbgVIAwmbiaPQtPIItARbKmZjUizu8wEk2QFWAYB0LbGVjM9m8Iy2Dwrw0u4L9mn&#10;BTDhu/ABMVA/bAYf05DzI2fzI+eVTJMxWFfdTXUKYEwv++CwwTbbh/KnN1ff/3r9x+9vf3nzz9+v&#10;sP36N8NHM+H1AZ7HRft8dibonpHZw0ls7nFX48YdQtkCbszxHAt5QNwAS1h7NWt1IwXa5bgsCsCu&#10;lGQdebvHbVvIGpmKIslWILkcNE0Xmgvvxe7o4B0dvRTxOSLuI0WMwEOh0ViggjBugfhoLKhPuK0m&#10;rCbj3VOhEPRIC8pehNZGHMs9HiG3OYO+XnruAxq1mGvbmjTiUA2TGHYuj7quyxBEFCGgjYEgrdWh&#10;3dFmW/hpd7PG5+1pu2N8u4K2WYB1vdTnkfloa4XTM+Isrb5Gl42RRxubEotQH+MdTVarYz166PIU&#10;dg71XH8Ddjt1f/cn7zF4PzJzfytAmfeF60D5BEFZigwj3GEUfB8iA6ET6BaIUY8Md1xGWtcI83p5&#10;6NKiLvpuA/RtqGEEwv6HjNF7vXoM1NAZNX3QBH3bOTPiO47taT48h3mLfPi2hUmdVhXP4Xr8fQqd&#10;9gncXas1y70Z5FhrMzidg61P4ZZKE7Vt13U6b+ZZoFI3pMmzfRhv0WMUAqk2ctlLU19heLfSObYk&#10;zoa+7aTJI6R1XD5UmRbpILZH6UyZKOEgYnCevTLdKkItR+R/UFpiG+JsGO/JWxE+zUXX1HVcitUj&#10;CJWguITFhBt6tC8uQa3zfSouYVVU1x77QAn6eibulfVznzu+DpRAjyydXvWBtO8Sq5MjBq5tU/q1&#10;u6x/X+lWBeYHr3Rj8r2u1K3r0VsESsynnteix6HCDc0bwkQ9ooax4KRyLRhd7Qe3yeB2+ZblMaRw&#10;zN2AijunUis8l4qp1yf+vIuuOWM6POr1CiImS6XlAI0D71U26dU22DyexF+9xYU33OrBa9/G4yv0&#10;+d/Qnv8/A0f/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0HAABbQ29udGVudF9UeXBlc10ueG1sUEsBAhQACgAAAAAAh07iQAAAAAAAAAAAAAAA&#10;AAYAAAAAAAAAAAAQAAAAfwYAAF9yZWxzL1BLAQIUABQAAAAIAIdO4kCKFGY80QAAAJQBAAALAAAA&#10;AAAAAAEAIAAAAKMGAABfcmVscy8ucmVsc1BLAQIUAAoAAAAAAIdO4kAAAAAAAAAAAAAAAAAEAAAA&#10;AAAAAAAAEAAAAAAAAABkcnMvUEsBAhQAFAAAAAgAh07iQLlaQqbXAAAABQEAAA8AAAAAAAAAAQAg&#10;AAAAIgAAAGRycy9kb3ducmV2LnhtbFBLAQIUABQAAAAIAIdO4kAZ4iXtLQUAAHsgAAAOAAAAAAAA&#10;AAEAIAAAACYBAABkcnMvZTJvRG9jLnhtbFBLBQYAAAAABgAGAFkBAADFCAAAAAA=&#10;">
                      <o:lock v:ext="edit" aspectratio="f"/>
                      <v:shape id="_x0000_s1026" o:spid="_x0000_s1026" style="position:absolute;left:0;top:0;height:1329690;width:4991735;" filled="f" stroked="f" coordsize="21600,21600" o:gfxdata="UEsDBAoAAAAAAIdO4kAAAAAAAAAAAAAAAAAEAAAAZHJzL1BLAwQUAAAACACHTuJAuVpCptcAAAAF&#10;AQAADwAAAGRycy9kb3ducmV2LnhtbE2PQUvDQBCF74L/YRnBi9jdFKltzKSHglhEKE1tz9vsmASz&#10;s2l2m9R/7+pFLwOP93jvm2x5sa0YqPeNY4RkokAQl840XCG8757v5yB80Gx065gQvsjDMr++ynRq&#10;3MhbGopQiVjCPtUIdQhdKqUva7LaT1xHHL0P11sdouwraXo9xnLbyqlSM2l1w3Gh1h2taio/i7NF&#10;GMvNcNi9vcjN3WHt+LQ+rYr9K+LtTaKeQAS6hL8w/OBHdMgj09Gd2XjRIsRHwu+N3uN8loA4IkzV&#10;4gFknsn/9Pk3UEsDBBQAAAAIAIdO4kC8arm/7QQAAPYfAAAOAAAAZHJzL2Uyb0RvYy54bWztmU2P&#10;4zQYx+9IfIcod7axnddqOisxwwISgpUWuLt5aSMlcWRnp50vADeOXEBISMBp4bR3Pg2zfAyex06a&#10;ttOXmcJUu0wnUuvaHsd58sv/ecnZ03lZWFepVLmoRjZ54thWWsUiyavJyP7qy2cfhLalGl4lvBBV&#10;OrKvU2U/PX//vbNZPUypmIoiSaUFi1RqOKtH9rRp6uFgoOJpWnL1RNRpBYOZkCVv4KecDBLJZ7B6&#10;WQyo4/iDmZBJLUWcKgW9l2bQPtfrZ1kaN19kmUobqxjZsLdGf0r9OcbPwfkZH04kr6d53G6DH7CL&#10;kucVnHSx1CVvuPVS5reWKvNYCiWy5kksyoHIsjxO9TXA1RBn7WoueHXFlb6YGKzTbRBa/+G64wnu&#10;uxLP8qIAawxg9SH24fcM7k+Kw0W1Osn06LntnFkNN1DVi1up/t0WX0x5neorV8P486vn0sqTkU1t&#10;q+IlYHTz/bc3P766+fkbi+ItxJPDrBc1zGvmH4o5oNj1K+jEzc8zWeI32NyCcdcJAsY827oe2b7r&#10;Eb9lIZ03VgzjEXFdB4iJcdxzwsDDBQf9OrVUzcepKC1sjGwJqGkC+NVnqjFTuykrtkPTWTM4gUfh&#10;7DEH6LOCN9Asa7hEVU30MkoUeYL3BP9Zycn4opDWFUeM9V+7m5VpeL5LrqZmnh7CaXxY5k0qdWua&#10;8uSjKrGa6xrMWMEzaeNmyjSxrSKFRxhbembD8+IuM8EkSAewoIbG1thq5uM5LIPNsUiu4b4Un1bA&#10;ROjDAc+h/uEyOGxLLo+Ml0de1jKfTMG6+m7qUwBjZtkHhw22aWB788Prm+9+ffPH73/98vrvP3/C&#10;9qvfrBDN1IJ3UT1H8/Ym6DFpcSNuFES+wS3yCGVruDEv8BzkAXEDLGG17aypRnK0y4WoKsBOSLKL&#10;vOPjdihkjcx5NSm2ILkZNEMXmgutfzw6oo6OXoqiJSLuI0WMwENh0FijgrDIAfExWNCQRK6esJ2M&#10;t0+FEtAjtMtJhPY4+80ej5DbnEFfKzb39HnUYb7rGtKIRw1MfNi5POr7PkMQUYSANgaCtFOHjkeb&#10;6+DR7maHzzvRdsfQcgttiwBrs88jy9HWFqdnZUVef40uGx/6zv05hIYY7xiyWh3r0UOXp7HzaOCH&#10;e7A7qvu7P3mPwfuRhfvbAsqyL9wFyicIykZkGIk8RsH3ITIQOoFuaTfSqVXk+Yy0rhHm9fLQBfpd&#10;9N0G6IdQwwiE/Q8Zo/d69RiooQtq+qAJ+g5zZiT0PDcwfAQeC9b5CF0HkzqjKoEXmfF3KXQ6JXB3&#10;LZRs9maQY+3M4EwOtjuF2yhN1HV93+u8WeCASq1IU+CGMN6ixygEUm3kcpKmvsLwdqVzbEOcDX2H&#10;SVNASOu4QqgyrdNB3IDShTJREoGIwXlOynSrCLUZkf9BaYntibNhvCdvS/i0FF1T3/MpVo8gVILi&#10;EhYTVvToVFyCWue7VFzCquh6oRv6eibuU16iURh5oQmUQI8ck171uVfoE6eTIwaubV/6dbys/1Tp&#10;1iXlB690Y/K9q9Rt6tEHBEospEHQohdBhRuaK8JEA6KHseCkcy0Y3e4HD8ngjvmW5TGkcMzfg4q/&#10;pFJbPJeOqXcn/lEXXUeMmfCo1yuImBydlgM0HrxX2adXh2DzeBJ/8w63jvWD174Ix7fXy7+hvfy6&#10;/vw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QcAAFtDb250ZW50X1R5cGVzXS54bWxQSwECFAAKAAAAAACHTuJAAAAAAAAAAAAAAAAABgAAAAAA&#10;AAAAABAAAAA/BgAAX3JlbHMvUEsBAhQAFAAAAAgAh07iQIoUZjzRAAAAlAEAAAsAAAAAAAAAAQAg&#10;AAAAYwYAAF9yZWxzLy5yZWxzUEsBAhQACgAAAAAAh07iQAAAAAAAAAAAAAAAAAQAAAAAAAAAAAAQ&#10;AAAAAAAAAGRycy9QSwECFAAUAAAACACHTuJAuVpCptcAAAAFAQAADwAAAAAAAAABACAAAAAiAAAA&#10;ZHJzL2Rvd25yZXYueG1sUEsBAhQAFAAAAAgAh07iQLxqub/tBAAA9h8AAA4AAAAAAAAAAQAgAAAA&#10;JgEAAGRycy9lMm9Eb2MueG1sUEsFBgAAAAAGAAYAWQEAAIUIAAAAAA==&#10;">
                        <v:fill on="f" focussize="0,0"/>
                        <v:stroke on="f"/>
                        <v:imagedata o:title=""/>
                        <o:lock v:ext="edit" aspectratio="t"/>
                      </v:shape>
                      <v:shape id="_x0000_s1026" o:spid="_x0000_s1026" o:spt="202" type="#_x0000_t202" style="position:absolute;left:4077335;top:645160;height:650875;width:914400;" filled="f" stroked="t" coordsize="21600,21600" o:gfxdata="UEsDBAoAAAAAAIdO4kAAAAAAAAAAAAAAAAAEAAAAZHJzL1BLAwQUAAAACACHTuJAilsB+tUAAAAF&#10;AQAADwAAAGRycy9kb3ducmV2LnhtbE2PwU7DMBBE70j8g7WVuFTUToVCGuL0gMQNIUj6AW68JGnt&#10;dWQ7Tfl7DBe4rDSa0czban+1hl3Qh9GRhGwjgCF1To/USzi0L/cFsBAVaWUcoYQvDLCvb28qVWq3&#10;0AdemtizVEKhVBKGGKeS89ANaFXYuAkpeZ/OWxWT9D3XXi2p3Bq+FSLnVo2UFgY14fOA3bmZrYS3&#10;dvZ5M6+d6dps/Xoq3k+H3SLl3SoTT8AiXuNfGH7wEzrUienoZtKBGQnpkfh7k/dY5Bmwo4St2D0A&#10;ryv+n77+BlBLAwQUAAAACACHTuJA+Jr8DwoCAAD9AwAADgAAAGRycy9lMm9Eb2MueG1srVPNjtMw&#10;EL4j8Q6W7zTpf4margRlERICpGUfYGo7iSX/yfY26QvAG3Diwp3n6nMwdru7XbggRCI5Y8/km5nv&#10;G6+vBq3IXvggranpeFRSIgyzXJq2prefr1+sKAkRDAdljajpQQR6tXn+bN27SkxsZxUXniCICVXv&#10;atrF6KqiCKwTGsLIOmHQ2VivIeLWtwX30CO6VsWkLBdFbz133jIRAp5uT066yfhNI1j82DRBRKJq&#10;irXFvPq87tJabNZQtR5cJ9m5DPiHKjRIg0kfoLYQgdx5+QeUlszbYJs4YlYXtmkkE7kH7GZc/tbN&#10;TQdO5F6QnOAeaAr/D5Z92H/yRPKaTigxoFGi47evx+8/jz++kEmip3ehwqgbh3FxeGUHlPn+POBh&#10;6npovE5f7Iegf1Yul9PpnJJDTRez+Xhx5lkMkTD0vxzPZiWqwZJ/Xq6W8wRYPOI4H+JbYTVJRk09&#10;ypjZhf37EE+h9yEprbHXUqkspTKkxwTzCWZngAPVKIhoaoctBtNmmGCV5OmX9HPw7e618mQPaUTy&#10;c67mSVjKt4XQneKyK4VBpWUUPludAP7GcBIPDmk0OO80FaMFp0QJvB7JypERpPqbSKREGWQmaXDi&#10;Ollx2A0Ik8yd5QfURb0zOBOrBb4443kzm+JLib/07C49d87LtkN2s5o5Bc5YluF8H9IQX+5zIY+3&#10;dvM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ilsB+tUAAAAFAQAADwAAAAAAAAABACAAAAAiAAAA&#10;ZHJzL2Rvd25yZXYueG1sUEsBAhQAFAAAAAgAh07iQPia/A8KAgAA/QMAAA4AAAAAAAAAAQAgAAAA&#10;JAEAAGRycy9lMm9Eb2MueG1sUEsFBgAAAAAGAAYAWQEAAKAFAAAAAA==&#10;">
                        <v:fill on="f" focussize="0,0"/>
                        <v:stroke color="#000000" joinstyle="miter"/>
                        <v:imagedata o:title=""/>
                        <o:lock v:ext="edit" aspectratio="f"/>
                        <v:textbox inset="2.413mm,1.2065mm,2.413mm,1.2065mm">
                          <w:txbxContent>
                            <w:p>
                              <w:pPr>
                                <w:jc w:val="center"/>
                                <w:rPr>
                                  <w:sz w:val="18"/>
                                  <w:szCs w:val="18"/>
                                </w:rPr>
                              </w:pPr>
                              <w:r>
                                <w:rPr>
                                  <w:rFonts w:hint="eastAsia"/>
                                  <w:sz w:val="18"/>
                                  <w:szCs w:val="18"/>
                                </w:rPr>
                                <w:t>铁塔组装及导线架设</w:t>
                              </w:r>
                            </w:p>
                          </w:txbxContent>
                        </v:textbox>
                      </v:shape>
                      <v:shape id="_x0000_s1026" o:spid="_x0000_s1026" o:spt="32" type="#_x0000_t32" style="position:absolute;left:1497965;top:951230;height:635;width:357505;" filled="f" stroked="t" coordsize="21600,21600" o:gfxdata="UEsDBAoAAAAAAIdO4kAAAAAAAAAAAAAAAAAEAAAAZHJzL1BLAwQUAAAACACHTuJAzkalw9cAAAAF&#10;AQAADwAAAGRycy9kb3ducmV2LnhtbE2PzWrDMBCE74W+g9hCb43kUNzEsRxoQ6kvLTQJpUfF2lii&#10;1spYyl+fPmouzWVhmGHm23J+dB3b4xCsJwnZSABDary21EpYr14fJsBCVKRV5wklnDDAvLq9KVWh&#10;/YE+cb+MLUslFAolwcTYF5yHxqBTYeR7pORt/eBUTHJouR7UIZW7jo+FyLlTltKCUT2+GGx+ljsn&#10;IS6+Tyb/ap6n9mP19p7b37quF1Le32ViBiziMf6H4Q8/oUOVmDZ+RzqwTkJ6JF5u8p4meQZsI2Es&#10;po/Aq5Jf01dnUEsDBBQAAAAIAIdO4kC3G1VS9AEAAK4DAAAOAAAAZHJzL2Uyb0RvYy54bWytU0uO&#10;EzEQ3SNxB8t70p2EZCatdGaRMGwQRII5QMV2d1vyT7ZJJ5fgAkisgBXDavacBmaOQdkJEz5ig+hF&#10;ddlV9Vz1/Dy/2GlFtsIHaU1Nh4OSEmGY5dK0Nb16dfnonJIQwXBQ1oia7kWgF4uHD+a9q8TIdlZx&#10;4QmCmFD1rqZdjK4qisA6oSEMrBMGg431GiIufVtwDz2ia1WMynJa9NZz5y0TIeDu6hCki4zfNILF&#10;F00TRCSqpthbzNZnu0m2WMyhaj24TrJjG/APXWiQBg+9h1pBBPLayz+gtGTeBtvEAbO6sE0jmcgz&#10;4DTD8rdpXnbgRJ4FyQnunqbw/2DZ8+3aE8lrihdlQOMV3b69+fbmw+3n66/vb+6+vEv+p4/kPFHV&#10;u1BhxdKs/XEV3NqnuXeN1+mPE5EdCuHx7Gw2nVCyr+lsMhyNj0yLXSQM4+PJ2aTEMMP4dDxJ2MUJ&#10;xPkQnwqrSXJqGqIH2XZxaY3BC7V+mKmG7bMQD4U/ClIHypA+HTpK8ICSahREdLXDIYNpc22wSvJL&#10;qVSqCL7dLJUnW0giyd+xoV/S0iErCN0hL4dSGlSdAP7EcBL3DukzqHOaWtCCU6IEPovk5cwIUp0y&#10;o5dgWvWXbORDGaQlcX5gOXkby/eZ/LyPosjEHQWcVPfzOlefntniO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5GpcPXAAAABQEAAA8AAAAAAAAAAQAgAAAAIgAAAGRycy9kb3ducmV2LnhtbFBLAQIU&#10;ABQAAAAIAIdO4kC3G1VS9AEAAK4DAAAOAAAAAAAAAAEAIAAAACYBAABkcnMvZTJvRG9jLnhtbFBL&#10;BQYAAAAABgAGAFkBAACMBQAAAAA=&#10;">
                        <v:fill on="f" focussize="0,0"/>
                        <v:stroke color="#000000" joinstyle="round" endarrow="block"/>
                        <v:imagedata o:title=""/>
                        <o:lock v:ext="edit" aspectratio="f"/>
                      </v:shape>
                      <v:shape id="_x0000_s1026" o:spid="_x0000_s1026" o:spt="202" type="#_x0000_t202" style="position:absolute;left:316865;top:0;height:281940;width:1390650;" filled="f" stroked="t" coordsize="21600,21600" o:gfxdata="UEsDBAoAAAAAAIdO4kAAAAAAAAAAAAAAAAAEAAAAZHJzL1BLAwQUAAAACACHTuJAhmrpidgAAAAF&#10;AQAADwAAAGRycy9kb3ducmV2LnhtbE2PS2vDMBCE74X+B7GF3hrJoTiu43WgDYUSaCEP6FWxNraJ&#10;tXIt5dH8+qq5tJeFYYaZb4vZ2XbiSINvHSMkIwWCuHKm5Rphs359yED4oNnozjEhfJOHWXl7U+jc&#10;uBMv6bgKtYgl7HON0ITQ51L6qiGr/cj1xNHbucHqEOVQSzPoUyy3nRwrlUqrW44Lje7ppaFqvzpY&#10;hPl6Y9Xy8p7ZyVf68fl8WbzN9wvE+7tETUEEOoe/MPziR3QoI9PWHdh40SHER8L1Rm+SpQmILcJY&#10;PT2CLAv5n778AVBLAwQUAAAACACHTuJAbYdU7QgCAAD3AwAADgAAAGRycy9lMm9Eb2MueG1srVPN&#10;jtMwEL4j8Q6W7zRpu63aqOlKUBYhIUBaeADHdhJL/pPH26QvAG/AiQt3nqvPsWN3t1vgghCt5Iw9&#10;42/m+2a8uR6NJnsZQDlb0+mkpERa7oSyXU0/f7p5saIEIrOCaWdlTQ8S6PX2+bPN4Cs5c73TQgaC&#10;IBaqwde0j9FXRQG8l4bBxHlp0dm6YFjEbegKEdiA6EYXs7JcFoMLwgfHJQCe7k5Ous34bSt5/NC2&#10;ICPRNcXaYl5DXpu0FtsNq7rAfK/4QxnsH6owTFlMeobascjIXVB/QBnFgwPXxgl3pnBtq7jMHJDN&#10;tPyNzW3PvMxcUBzwZ5ng/8Hy9/uPgShR0zUllhls0fHb1+P3n8cfX8g6yTN4qDDq1mNcHF+6Edv8&#10;eA54mFiPbTDpi3wI+ufT5Wq5oORwVliOkfB0c74ulwtsBEffbDVdX+UWFE8QPkB8I50hyahpwA5m&#10;Ydn+HUQsB0MfQ1JG626U1rmL2pIBaSxmmJkznKVWs4im8cgObJdhwGkl0pV0GULXvNKB7FmajvxL&#10;zDDFL2Ep345Bf4oTaJ3GxqgoQ07dSyZeW0HiwaOAFiedplqMFJRoiQ8jWTkyMqX/JhJr0BZLSeqf&#10;VE5WHJsRYZLZOHHAjui3FqdhhXrjQ4t5czXHPyXh0tNceu58UF2P4uY+5hQ4XZn3w0tI43u5z4U8&#10;vdftP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Zq6YnYAAAABQEAAA8AAAAAAAAAAQAgAAAAIgAA&#10;AGRycy9kb3ducmV2LnhtbFBLAQIUABQAAAAIAIdO4kBth1TtCAIAAPcDAAAOAAAAAAAAAAEAIAAA&#10;ACcBAABkcnMvZTJvRG9jLnhtbFBLBQYAAAAABgAGAFkBAAChBQAAAAA=&#10;">
                        <v:fill on="f" focussize="0,0"/>
                        <v:stroke color="#000000" joinstyle="miter" dashstyle="dash"/>
                        <v:imagedata o:title=""/>
                        <o:lock v:ext="edit" aspectratio="f"/>
                        <v:textbox inset="2.413mm,1.2065mm,2.413mm,1.2065mm">
                          <w:txbxContent>
                            <w:p>
                              <w:pPr>
                                <w:jc w:val="center"/>
                                <w:rPr>
                                  <w:sz w:val="18"/>
                                  <w:szCs w:val="18"/>
                                </w:rPr>
                              </w:pPr>
                              <w:r>
                                <w:rPr>
                                  <w:rFonts w:hint="eastAsia"/>
                                  <w:sz w:val="18"/>
                                  <w:szCs w:val="18"/>
                                </w:rPr>
                                <w:t>噪声、扬尘</w:t>
                              </w:r>
                            </w:p>
                          </w:txbxContent>
                        </v:textbox>
                      </v:shape>
                      <v:shape id="_x0000_s1026" o:spid="_x0000_s1026" o:spt="202" type="#_x0000_t202" style="position:absolute;left:2036445;top:15240;height:281305;width:2666365;" filled="f" stroked="t" coordsize="21600,21600" o:gfxdata="UEsDBAoAAAAAAIdO4kAAAAAAAAAAAAAAAAAEAAAAZHJzL1BLAwQUAAAACACHTuJAgISxYtIAAAAF&#10;AQAADwAAAGRycy9kb3ducmV2LnhtbE2PTU/DMAyG70j8h8hIu7GkA22lNJ0EEidOK2hnr/Haao1T&#10;muzr32O4wMWS9VrP+7hcX/ygTjTFPrCFbG5AETfB9dxa+Px4u89BxYTscAhMFq4UYV3d3pRYuHDm&#10;DZ3q1CqBcCzQQpfSWGgdm448xnkYiSXbh8ljknVqtZvwLHA/6IUxS+2xZ2nocKTXjppDffRSsjVf&#10;+fZQPwhm8xKzfLVvw7u1s7vMPINKdEl/x/CjL+pQidMuHNlFNViQR9LvlGyVLzNQOwsL8/QIuir1&#10;f/vqG1BLAwQUAAAACACHTuJAdnCeRgsCAAD+AwAADgAAAGRycy9lMm9Eb2MueG1srVPNjtMwEL4j&#10;8Q6W7zRp2kZL1HQlKIuQECAtPMDUdhJL/pPtbdIXgDfgxIU7z9XnYOx2dwtcEEKWnLHnyzcz34zX&#10;15NWZC98kNa0dD4rKRGGWS5N39JPH2+eXVESIhgOyhrR0oMI9Hrz9Ml6dI2o7GAVF54giQnN6Fo6&#10;xOiaoghsEBrCzDph0NlZryHi0fcF9zAiu1ZFVZZ1MVrPnbdMhIC325OTbjJ/1wkW33ddEJGolmJu&#10;Me8+77u0F5s1NL0HN0h2TgP+IQsN0mDQB6otRCB3Xv5BpSXzNtguzpjVhe06yUSuAauZl79VczuA&#10;E7kWFCe4B5nC/6Nl7/YfPJEcezenxIDGHh2/fjl++3H8/pngHQo0utAg7tYhMk4v7ITg+/uAl6nu&#10;qfM6fbEigv6qXNTL5YqSA2JX1fIstJgiYcld1/WiRjdDf3U1X5SrRFg88jgf4mthNUlGSz02MusL&#10;+7chnqD3kBTW2BupVG6mMmRs6fNVlegBR6pTENHUDosMps80wSrJ0y/p5+D73UvlyR5wSJZlWuds&#10;foGleFsIwwnH0UooaLSMwmdrEMBfGU7iwaGMBgeeply04JQoge8jWRkZQaq/QaIiyqAwqQUnqZMV&#10;p92ENMncWX7Atqg3BofiqsaFQ54PywUuSvylZ3fpuXNe9gOKm5uZQ+CQ5S6cH0Sa4stzTuTx2W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CEsWLSAAAABQEAAA8AAAAAAAAAAQAgAAAAIgAAAGRy&#10;cy9kb3ducmV2LnhtbFBLAQIUABQAAAAIAIdO4kB2cJ5GCwIAAP4DAAAOAAAAAAAAAAEAIAAAACEB&#10;AABkcnMvZTJvRG9jLnhtbFBLBQYAAAAABgAGAFkBAACeBQAAAAA=&#10;">
                        <v:fill on="f" focussize="0,0"/>
                        <v:stroke color="#404040" joinstyle="miter" dashstyle="dash"/>
                        <v:imagedata o:title=""/>
                        <o:lock v:ext="edit" aspectratio="f"/>
                        <v:textbox inset="2.413mm,1.2065mm,2.413mm,1.2065mm">
                          <w:txbxContent>
                            <w:p>
                              <w:pPr>
                                <w:jc w:val="center"/>
                                <w:rPr>
                                  <w:sz w:val="18"/>
                                  <w:szCs w:val="18"/>
                                </w:rPr>
                              </w:pPr>
                              <w:r>
                                <w:rPr>
                                  <w:rFonts w:hint="eastAsia"/>
                                  <w:sz w:val="18"/>
                                  <w:szCs w:val="18"/>
                                </w:rPr>
                                <w:t>噪声、扬尘、废污水、固体废物、生态影响</w:t>
                              </w:r>
                            </w:p>
                          </w:txbxContent>
                        </v:textbox>
                      </v:shape>
                      <v:shape id="_x0000_s1026" o:spid="_x0000_s1026" o:spt="32" type="#_x0000_t32" style="position:absolute;left:1012825;top:281940;flip:y;height:527685;width:635;" filled="f" stroked="t" coordsize="21600,21600" o:gfxdata="UEsDBAoAAAAAAIdO4kAAAAAAAAAAAAAAAAAEAAAAZHJzL1BLAwQUAAAACACHTuJAnjBS6NYAAAAF&#10;AQAADwAAAGRycy9kb3ducmV2LnhtbE2PQUvDQBCF74L/YRnBi9jdBIltzKaI6EHw0FbpeZsdk+Du&#10;TMhu0/Tfu3rRy8DjPd77plrP3okJx9AzacgWCgRSw7anVsPH+8vtEkSIhqxxTKjhjAHW9eVFZUrL&#10;J9ritIutSCUUSqOhi3EopQxNh96EBQ9Iyfvk0ZuY5NhKO5pTKvdO5koV0pue0kJnBnzqsPnaHb2G&#10;+fXtOevdpmjPN3nxuJc8xQ1rfX2VqQcQEef4F4Yf/IQOdWI68JFsEE5DeiT+3uTdL4sMxEFDrlZ3&#10;IOtK/qevvwFQSwMEFAAAAAgAh07iQHzeBzb+AQAAuQMAAA4AAABkcnMvZTJvRG9jLnhtbK1TzY4T&#10;MQy+I/EOUe50psO2dEed7qFluSBYiZ+7m2RmIuVPSei0L8ELIHECTgunvfM0sDwGTqbs8iMuCEWK&#10;7Nj+bH92lmd7rchO+CCtaeh0UlIiDLNcmq6hL56f31tQEiIYDsoa0dCDCPRsdffOcnC1qGxvFRee&#10;IIgJ9eAa2sfo6qIIrBcawsQ6YdDYWq8houq7gnsYEF2roirLeTFYz523TISAr5vRSFcZv20Fi0/b&#10;NohIVEOxtphvn+9tuovVEurOg+slO5YB/1CFBmkw6Q3UBiKQV17+AaUl8zbYNk6Y1YVtW8lE7gG7&#10;mZa/dfOsBydyL0hOcDc0hf8Hy57sLjyRHGdXUWJA44yu31x9ff3++tPHL++uvn1+m+TLDwTtSNbg&#10;Qo0xa3Phj1pwFz51vm+9Jq2S7iViZS6wO7JHpZxWi2pGyaGh1WJ6enJkXewjYWif30cbQ+OsejBf&#10;zFKWYoRLsM6H+EhYTZLQ0BA9yK6Pa2sMDtf6MRXsHoc4Bv4ISMHKkKGhp7OUnQGuV6sgoqgdNhxM&#10;l8sMVkl+LpVKEcF327XyZAe4MCdlOseCfnFLSTYQ+tGPo5S8oO4F8IeGk3hwSKTBlaepAi04JUrg&#10;D0lS9owg1a1n9BJMp/7ijXQog6wk8ke6k7S1/JCnkN9xPzJvx11OC/iznqNvf9zqO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4wUujWAAAABQEAAA8AAAAAAAAAAQAgAAAAIgAAAGRycy9kb3ducmV2&#10;LnhtbFBLAQIUABQAAAAIAIdO4kB83gc2/gEAALkDAAAOAAAAAAAAAAEAIAAAACUBAABkcnMvZTJv&#10;RG9jLnhtbFBLBQYAAAAABgAGAFkBAACVBQAAAAA=&#10;">
                        <v:fill on="f" focussize="0,0"/>
                        <v:stroke color="#404040" joinstyle="round" dashstyle="dash" endarrow="block"/>
                        <v:imagedata o:title=""/>
                        <o:lock v:ext="edit" aspectratio="f"/>
                      </v:shape>
                      <v:shape id="_x0000_s1026" o:spid="_x0000_s1026" o:spt="32" type="#_x0000_t32" style="position:absolute;left:3195320;top:296545;flip:x y;height:320040;width:956310;" filled="f" stroked="t" coordsize="21600,21600" o:gfxdata="UEsDBAoAAAAAAIdO4kAAAAAAAAAAAAAAAAAEAAAAZHJzL1BLAwQUAAAACACHTuJATfT36tYAAAAF&#10;AQAADwAAAGRycy9kb3ducmV2LnhtbE2PQUvDQBCF74L/YRnBm91NKbHGbIoI0oMoWMWmt212TILZ&#10;2bC7beq/d/SilwfDG977Xrk6uUEcMcTek4ZspkAgNd721Gp4e324WoKIyZA1gyfU8IURVtX5WWkK&#10;6yd6weMmtYJDKBZGQ5fSWEgZmw6diTM/IrH34YMzic/QShvMxOFukHOlculMT9zQmRHvO2w+NwfH&#10;JXWWb++mx6c6rp/X9U4uKLx7rS8vMnULIuEp/T3DDz6jQ8VMe38gG8WggYekX2XveplnIPYa5upm&#10;AbIq5X/66htQSwMEFAAAAAgAh07iQAMzT+AFAgAAxgMAAA4AAABkcnMvZTJvRG9jLnhtbK1TyY4T&#10;MRC9I/EPlu+ks0wH0kpnDgkDBwSRWO6Vtt1tyZtsk05+gh9A4gScgNPc+RoYPoOyO8ywiAuiD9Zz&#10;V9WrV4uX5wetyJ77IK2p6WQ0poSbxjJp2po+f3Zx5x4lIYJhoKzhNT3yQM9Xt28te1fxqe2sYtwT&#10;JDGh6l1NuxhdVRSh6biGMLKOGzQK6zVEvPq2YB56ZNeqmI7H86K3njlvGx4C/t0MRrrK/ELwJj4R&#10;IvBIVE1RW8ynz+cuncVqCVXrwXWyOcmAf1ChQRpMek21gQjkpZd/UGnZeBusiKPG6sIKIRuea8Bq&#10;JuPfqnnageO5FmxOcNdtCv+Ptnm833oiGc5uQYkBjTO6en359dW7q08fv7y9/Pb5TcIf3hO0Y7N6&#10;FyqMWZutP92C2/pU+UF4TYSS7iFy0YxeJJRsWCc51HQ2WZSzKY7hWNPpYl6elUP/+SGSBu2Lcj6b&#10;oLlBO/qNz/J8ioE78Tgf4gNuNUmgpiF6kG0X19YYnLT1QzbYPwoR1WHgj4AUrAzpk4a7JWYA3DWh&#10;ICLUDqsPps1Kg1WSXUilUkTw7W6tPNlD2p78JcHI+4tbSrKB0A1+DNFQVseB3TeMxKPDrhrcf5oU&#10;aM4oURyfS0LIB1UEqW48o5dgWvUXb8yuDIpIkxh6n9DOsmMeSf6Py5JlnhY7bePP9xx98/xW3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N9Pfq1gAAAAUBAAAPAAAAAAAAAAEAIAAAACIAAABkcnMv&#10;ZG93bnJldi54bWxQSwECFAAUAAAACACHTuJAAzNP4AUCAADGAwAADgAAAAAAAAABACAAAAAlAQAA&#10;ZHJzL2Uyb0RvYy54bWxQSwUGAAAAAAYABgBZAQAAnAUAAAAA&#10;">
                        <v:fill on="f" focussize="0,0"/>
                        <v:stroke weight="0.25pt" color="#000000" joinstyle="round" dashstyle="dash" endarrow="block"/>
                        <v:imagedata o:title=""/>
                        <o:lock v:ext="edit" aspectratio="f"/>
                      </v:shape>
                      <v:shape id="_x0000_s1026" o:spid="_x0000_s1026" o:spt="202" type="#_x0000_t202" style="position:absolute;left:1855470;top:753745;height:575945;width:840160;" filled="f" stroked="t" coordsize="21600,21600" o:gfxdata="UEsDBAoAAAAAAIdO4kAAAAAAAAAAAAAAAAAEAAAAZHJzL1BLAwQUAAAACACHTuJAilsB+tUAAAAF&#10;AQAADwAAAGRycy9kb3ducmV2LnhtbE2PwU7DMBBE70j8g7WVuFTUToVCGuL0gMQNIUj6AW68JGnt&#10;dWQ7Tfl7DBe4rDSa0czban+1hl3Qh9GRhGwjgCF1To/USzi0L/cFsBAVaWUcoYQvDLCvb28qVWq3&#10;0AdemtizVEKhVBKGGKeS89ANaFXYuAkpeZ/OWxWT9D3XXi2p3Bq+FSLnVo2UFgY14fOA3bmZrYS3&#10;dvZ5M6+d6dps/Xoq3k+H3SLl3SoTT8AiXuNfGH7wEzrUienoZtKBGQnpkfh7k/dY5Bmwo4St2D0A&#10;ryv+n77+BlBLAwQUAAAACACHTuJAEP0kSA0CAAD/AwAADgAAAGRycy9lMm9Eb2MueG1srVPbjtMw&#10;EH1H4h8sv9Ok3aaXqOlKUBYhIUBa9gNcXxJLvsn2NukPwB/wxAvv+139DsbOXrrwghCJ5Ix9Jmdm&#10;zow3l4NW6MB9kNY0eDopMeKGWiZN2+CbL1evVhiFSAwjyhre4CMP+HL78sWmdzWf2c4qxj0CEhPq&#10;3jW4i9HVRRFoxzUJE+u4AVBYr0mErW8L5kkP7FoVs7JcFL31zHlLeQhwuhtBvM38QnAaPwkReESq&#10;wZBbzKvP6z6txXZD6tYT10l6nwb5hyw0kQaCPlLtSCTo1ss/qLSk3gYr4oRaXVghJOW5BqhmWv5W&#10;zXVHHM+1gDjBPcoU/h8t/Xj47JFkDZ6tMTJEQ49O37+dftydfn5FcAYC9S7U4HftwDMOr+0AjX44&#10;D3CY6h6E1+kLFaGEr6pqvgTBjw1eVhfLeTUqzYeIKOCreTldAEwBr5bVesSLJx7nQ3zHrUbJaLCH&#10;RmZ9yeFDiJATuD64pLDGXkmlcjOVQX2D19WsAnoCIyUUiWBqB0UG02aaYJVk6Zf0c/Dt/o3y6EDS&#10;kOQnZQshnrmleDsSutEvQ2NRWkbuc+yOE/bWMBSPDnQ0MPE4JaM5w0hxuCDJyp6RSPU3npCEMpBL&#10;6sGodbLisB+AJpl7y47QF/XewFSsFvDClOfN/AJejPw5sj9Hbp2XbQfq5m7mEDBlufD7G5HG+Hyf&#10;E3m6t9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lsB+tUAAAAFAQAADwAAAAAAAAABACAAAAAi&#10;AAAAZHJzL2Rvd25yZXYueG1sUEsBAhQAFAAAAAgAh07iQBD9JEgNAgAA/wMAAA4AAAAAAAAAAQAg&#10;AAAAJAEAAGRycy9lMm9Eb2MueG1sUEsFBgAAAAAGAAYAWQEAAKMFAAAAAA==&#10;">
                        <v:fill on="f" focussize="0,0"/>
                        <v:stroke color="#000000" joinstyle="miter"/>
                        <v:imagedata o:title=""/>
                        <o:lock v:ext="edit" aspectratio="f"/>
                        <v:textbox inset="2.413mm,1.2065mm,2.413mm,1.2065mm">
                          <w:txbxContent>
                            <w:p>
                              <w:pPr>
                                <w:rPr>
                                  <w:sz w:val="18"/>
                                  <w:szCs w:val="18"/>
                                </w:rPr>
                              </w:pPr>
                              <w:r>
                                <w:rPr>
                                  <w:rFonts w:hint="eastAsia"/>
                                  <w:sz w:val="18"/>
                                  <w:szCs w:val="18"/>
                                </w:rPr>
                                <w:t>导、地线、杆塔拆除</w:t>
                              </w:r>
                            </w:p>
                          </w:txbxContent>
                        </v:textbox>
                      </v:shape>
                      <v:shape id="_x0000_s1026" o:spid="_x0000_s1026" o:spt="32" type="#_x0000_t32" style="position:absolute;left:2446655;top:287020;flip:y;height:532130;width:748665;" filled="f" stroked="t" coordsize="21600,21600" o:gfxdata="UEsDBAoAAAAAAIdO4kAAAAAAAAAAAAAAAAAEAAAAZHJzL1BLAwQUAAAACACHTuJA898xEtYAAAAF&#10;AQAADwAAAGRycy9kb3ducmV2LnhtbE2PzU7DMBCE70i8g7VI3KidCrUljdMDECTEiRLRqxtvk0C8&#10;TmOnP2/P0gtcVhrNaObbbHVynTjgEFpPGpKJAoFUedtSraH8KO4WIEI0ZE3nCTWcMcAqv77KTGr9&#10;kd7xsI614BIKqdHQxNinUoaqQWfCxPdI7O384ExkOdTSDubI5a6TU6Vm0pmWeKExPT42WH2vR6dh&#10;T/vdczFXT69jkbydP7H82ryUWt/eJGoJIuIp/oXhF5/RIWemrR/JBtFp4Efi5bI3X8wSEFsNU/Vw&#10;DzLP5H/6/AdQSwMEFAAAAAgAh07iQHfZ8BIAAgAAvAMAAA4AAABkcnMvZTJvRG9jLnhtbK1TS44T&#10;MRDdI3EHy3vSSSY/tdKZRcKwQRAJmH3Fdndb8k+2SSeX4AJIrIAVw2r2nAZmjkHZHWb4iA2iF1a5&#10;y/Xqvefy8vygFdkLH6Q1FR0NhpQIwyyXpqnoq5cXjxaUhAiGg7JGVPQoAj1fPXyw7Fwpxra1igtP&#10;EMSEsnMVbWN0ZVEE1goNYWCdMJisrdcQceubgnvoEF2rYjwczorOeu68ZSIE/Lvpk3SV8etasPi8&#10;roOIRFUUucW8+rzu0lqsllA2Hlwr2YkG/AMLDdJg0zuoDUQgr738A0pL5m2wdRwwqwtb15KJrAHV&#10;jIa/qXnRghNZC5oT3J1N4f/Bsmf7rSeSV/QM7TGg8Y5u3l5/e/Ph5vPV1/fXt1/epfjTR4J5NKtz&#10;ocSatdn60y64rU/KD7XXpFbSXeIcZC9QHTlUdDyZzGbTKSVHjBfz4fjkujhEwjA/nywwTwnD/PRs&#10;POobFT1iQnY+xCfCapKCioboQTZtXFtj8H6t77vB/mmIyAkLfxSkYmVIh+JG89QBcMJqBRFD7VBz&#10;ME1mGqyS/EIqlSqCb3Zr5cke0szkLylH3F+OpSYbCG1/jmPUD1MrgD82nMSjQy8NTj1NDLTglCiB&#10;jyRFiAdlBKnuT0YvwTTqL6exuzJIIvnfO56ineXHfBH5P45Ipnka5zSDP+9z9f2jW30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898xEtYAAAAFAQAADwAAAAAAAAABACAAAAAiAAAAZHJzL2Rvd25y&#10;ZXYueG1sUEsBAhQAFAAAAAgAh07iQHfZ8BIAAgAAvAMAAA4AAAAAAAAAAQAgAAAAJQEAAGRycy9l&#10;Mm9Eb2MueG1sUEsFBgAAAAAGAAYAWQEAAJcFAAAAAA==&#10;">
                        <v:fill on="f" focussize="0,0"/>
                        <v:stroke weight="0.25pt" color="#000000" joinstyle="round" dashstyle="dash" endarrow="block"/>
                        <v:imagedata o:title=""/>
                        <o:lock v:ext="edit" aspectratio="f"/>
                      </v:shape>
                      <v:shape id="_x0000_s1026" o:spid="_x0000_s1026" o:spt="202" type="#_x0000_t202" style="position:absolute;left:71120;top:807720;height:521970;width:1472260;" filled="f" stroked="t" coordsize="21600,21600" o:gfxdata="UEsDBAoAAAAAAIdO4kAAAAAAAAAAAAAAAAAEAAAAZHJzL1BLAwQUAAAACACHTuJAilsB+tUAAAAF&#10;AQAADwAAAGRycy9kb3ducmV2LnhtbE2PwU7DMBBE70j8g7WVuFTUToVCGuL0gMQNIUj6AW68JGnt&#10;dWQ7Tfl7DBe4rDSa0czban+1hl3Qh9GRhGwjgCF1To/USzi0L/cFsBAVaWUcoYQvDLCvb28qVWq3&#10;0AdemtizVEKhVBKGGKeS89ANaFXYuAkpeZ/OWxWT9D3XXi2p3Bq+FSLnVo2UFgY14fOA3bmZrYS3&#10;dvZ5M6+d6dps/Xoq3k+H3SLl3SoTT8AiXuNfGH7wEzrUienoZtKBGQnpkfh7k/dY5Bmwo4St2D0A&#10;ryv+n77+BlBLAwQUAAAACACHTuJAH4QK6Q0CAAD+AwAADgAAAGRycy9lMm9Eb2MueG1srVNLjhMx&#10;EN0jcQfLe9LpnskkE6UzEoRBSAiQBg7guN3dlvyT7Ul3LgA3YMWG/Zwr5+DZmU+ADUKkJafsen5V&#10;9aq8uhq1Ijvhg7SmpuVkSokw3DbSdDX9/On6xYKSEJlpmLJG1HQvAr1aP3+2GtxSVLa3qhGegMSE&#10;5eBq2sfolkUReC80CxPrhIGztV6ziK3visazAexaFdV0elEM1jfOWy5CwOnm6KTrzN+2gscPbRtE&#10;JKqmyC3m1ed1m9ZivWLLzjPXS36fBvuHLDSTBkEfqTYsMnLr5R9UWnJvg23jhFtd2LaVXOQaUE05&#10;/a2am545kWuBOME9yhT+Hy1/v/voiWxqelZSYphGjw7fvh6+3x1+fCE4g0CDC0vgbhyQcXxpRzT6&#10;4TzgMNU9tl6nf1RE4J+XZQW59zVdTOdzmFlnMUbC0+3zeVVdwM8BmFXl5TwDiica50N8I6wmyaip&#10;Rx+zvGz3LkRwAfoASVGNvZZK5RjKkKGml7NqBnqGiWoVizC1Q43BdJkmWCWbdCVdDr7bvlKe7Fia&#10;kfxL6SLEL7AUb8NCf8Rl17EqLaPwOXYvWPPaNCTuHWQ0GHiaktGioUQJvI9kZWRkUv0NEkkog1xS&#10;C45SJyuO2xE0ydzaZo+2qLcGQ7G4wIchz5vzM3yU+FPP9tRz67zseqibm5lDYMhy4fcPIk3x6T4n&#10;8vRs1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lsB+tUAAAAFAQAADwAAAAAAAAABACAAAAAi&#10;AAAAZHJzL2Rvd25yZXYueG1sUEsBAhQAFAAAAAgAh07iQB+ECukNAgAA/gMAAA4AAAAAAAAAAQAg&#10;AAAAJAEAAGRycy9lMm9Eb2MueG1sUEsFBgAAAAAGAAYAWQEAAKMFAAAAAA==&#10;">
                        <v:fill on="f" focussize="0,0"/>
                        <v:stroke color="#000000" joinstyle="miter"/>
                        <v:imagedata o:title=""/>
                        <o:lock v:ext="edit" aspectratio="f"/>
                        <v:textbox inset="2.413mm,1.2065mm,2.413mm,1.2065mm">
                          <w:txbxContent>
                            <w:p>
                              <w:pPr>
                                <w:jc w:val="center"/>
                                <w:rPr>
                                  <w:sz w:val="18"/>
                                  <w:szCs w:val="18"/>
                                </w:rPr>
                              </w:pPr>
                              <w:r>
                                <w:rPr>
                                  <w:rFonts w:hint="eastAsia"/>
                                  <w:sz w:val="18"/>
                                  <w:szCs w:val="18"/>
                                </w:rPr>
                                <w:t>施工准备（物料运输）</w:t>
                              </w:r>
                            </w:p>
                          </w:txbxContent>
                        </v:textbox>
                      </v:shape>
                      <v:shape id="_x0000_s1026" o:spid="_x0000_s1026" o:spt="32" type="#_x0000_t32" style="position:absolute;left:2656205;top:951865;height:635;width:357505;" filled="f" stroked="t" coordsize="21600,21600" o:gfxdata="UEsDBAoAAAAAAIdO4kAAAAAAAAAAAAAAAAAEAAAAZHJzL1BLAwQUAAAACACHTuJAzkalw9cAAAAF&#10;AQAADwAAAGRycy9kb3ducmV2LnhtbE2PzWrDMBCE74W+g9hCb43kUNzEsRxoQ6kvLTQJpUfF2lii&#10;1spYyl+fPmouzWVhmGHm23J+dB3b4xCsJwnZSABDary21EpYr14fJsBCVKRV5wklnDDAvLq9KVWh&#10;/YE+cb+MLUslFAolwcTYF5yHxqBTYeR7pORt/eBUTHJouR7UIZW7jo+FyLlTltKCUT2+GGx+ljsn&#10;IS6+Tyb/ap6n9mP19p7b37quF1Le32ViBiziMf6H4Q8/oUOVmDZ+RzqwTkJ6JF5u8p4meQZsI2Es&#10;po/Aq5Jf01dnUEsDBBQAAAAIAIdO4kC8j5TQ9gEAALADAAAOAAAAZHJzL2Uyb0RvYy54bWytU02u&#10;0zAQ3iNxB8t7mjZVyiNq+hYtjw2CSsABpraTWPKfbNO0l+ACSKyAFbB6e04Dj2MwdsorP2KDyMIZ&#10;e2a++ebzeHl50IrshQ/SmobOJlNKhGGWS9M19MXzq3sXlIQIhoOyRjT0KAK9XN29sxxcLUrbW8WF&#10;JwhiQj24hvYxurooAuuFhjCxThh0ttZriLj1XcE9DIiuVVFOp4tisJ47b5kIAU83o5OuMn7bChaf&#10;tm0QkaiGIreYV5/XXVqL1RLqzoPrJTvRgH9goUEaLHoLtYEI5KWXf0BpybwNto0TZnVh21YykXvA&#10;bmbT37p51oMTuRcUJ7hbmcL/g2VP9ltPJG/ovKTEgMY7unl9/fXVu5tPH7+8vf72+U2yP7wn6Eex&#10;BhdqzFmbrT/tgtv61Pmh9Tr9sSdyaGi5qBbltKLk2NAH1exiUY1ai0MkDP3z6n6V3Az9i3l2FmcQ&#10;50N8JKwmyWhoiB5k18e1NQav1PpZFhv2j0NEGpj4IyExUIYMqWiZ4AGHqlUQ0dQO2wymy7nBKsmv&#10;pFIpI/hut1ae7CGNSf4SW8T9JSwV2UDox7jsGpvqBfCHhpN4dKifwUmniYIWnBIl8GEkCwGhjiDV&#10;OTJ6CaZTf4nG8sogi6T5qHKydpYfs/j5HMci8zyNcJq7n/c5+/zQVt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kalw9cAAAAFAQAADwAAAAAAAAABACAAAAAiAAAAZHJzL2Rvd25yZXYueG1sUEsB&#10;AhQAFAAAAAgAh07iQLyPlND2AQAAsAMAAA4AAAAAAAAAAQAgAAAAJgEAAGRycy9lMm9Eb2MueG1s&#10;UEsFBgAAAAAGAAYAWQEAAI4FAAAAAA==&#10;">
                        <v:fill on="f" focussize="0,0"/>
                        <v:stroke color="#000000" joinstyle="round" endarrow="block"/>
                        <v:imagedata o:title=""/>
                        <o:lock v:ext="edit" aspectratio="f"/>
                      </v:shape>
                      <v:shape id="_x0000_s1026" o:spid="_x0000_s1026" o:spt="202" type="#_x0000_t202" style="position:absolute;left:2989580;top:807085;height:324485;width:861060;" filled="f" stroked="t" coordsize="21600,21600" o:gfxdata="UEsDBAoAAAAAAIdO4kAAAAAAAAAAAAAAAAAEAAAAZHJzL1BLAwQUAAAACACHTuJAilsB+tUAAAAF&#10;AQAADwAAAGRycy9kb3ducmV2LnhtbE2PwU7DMBBE70j8g7WVuFTUToVCGuL0gMQNIUj6AW68JGnt&#10;dWQ7Tfl7DBe4rDSa0czban+1hl3Qh9GRhGwjgCF1To/USzi0L/cFsBAVaWUcoYQvDLCvb28qVWq3&#10;0AdemtizVEKhVBKGGKeS89ANaFXYuAkpeZ/OWxWT9D3XXi2p3Bq+FSLnVo2UFgY14fOA3bmZrYS3&#10;dvZ5M6+d6dps/Xoq3k+H3SLl3SoTT8AiXuNfGH7wEzrUienoZtKBGQnpkfh7k/dY5Bmwo4St2D0A&#10;ryv+n77+BlBLAwQUAAAACACHTuJAAJXAzAwCAAD/AwAADgAAAGRycy9lMm9Eb2MueG1srVPLrtMw&#10;EN0j8Q+W9zTpk7RqeiUoFyEhQLrwAW7iJJb8ku3bpD8Af8CKDXu+q9/BsXMfBTYIkUjO2GdyZubM&#10;eHs1KEmO3HlhdEmnk5wSritTC92W9NPH62cFJT4wXTNpNC/piXt6tXv6ZNvbDZ+ZzsiaOwIS7Te9&#10;LWkXgt1kma86rpifGMs1wMY4xQK2rs1qx3qwK5nN8nyV9cbV1pmKe4/T/QjSXeJvGl6F903jeSCy&#10;pMgtpNWl9RDXbLdlm9Yx24nqLg32D1koJjSCPlDtWWDk1ok/qJSonPGmCZPKqMw0jah4qgHVTPPf&#10;qrnpmOWpFojj7YNM/v/RVu+OHxwRdUnnC0o0U+jR+euX87cf5++fCc4gUG/9Bn43Fp5heGEGNPr+&#10;3OMw1j00TsUvKiLAZ+tivSwg+KmkRf48L5aj0nwIpAJerKb5CnAFfD5bLEY8e+SxzofX3CgSjZI6&#10;NDLpy45vfUBOcL13iWG1uRZSpmZKTfqSrpezJegZRqqRLMBUFkV63SYab6So4y/xZ+/aw0vpyJHF&#10;IUlPzBYhfnGL8fbMd6NfgsailAjcpdgdZ/UrXZNwstBRY+JpTEbxmhLJcUGilTwDE/JvPJGE1Mgl&#10;9mDUOlphOAygiebB1Cf0Rb7RmIpihRdTnjaLOV5K3CVyuERurRNtB3VTN1MITFkq/O5GxDG+3KdE&#10;Hu/t7i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KWwH61QAAAAUBAAAPAAAAAAAAAAEAIAAAACIA&#10;AABkcnMvZG93bnJldi54bWxQSwECFAAUAAAACACHTuJAAJXAzAwCAAD/AwAADgAAAAAAAAABACAA&#10;AAAkAQAAZHJzL2Uyb0RvYy54bWxQSwUGAAAAAAYABgBZAQAAogUAAAAA&#10;">
                        <v:fill on="f" focussize="0,0"/>
                        <v:stroke color="#000000" joinstyle="miter"/>
                        <v:imagedata o:title=""/>
                        <o:lock v:ext="edit" aspectratio="f"/>
                        <v:textbox inset="2.413mm,1.2065mm,2.413mm,1.2065mm">
                          <w:txbxContent>
                            <w:p>
                              <w:pPr>
                                <w:jc w:val="center"/>
                                <w:rPr>
                                  <w:sz w:val="18"/>
                                  <w:szCs w:val="18"/>
                                </w:rPr>
                              </w:pPr>
                              <w:r>
                                <w:rPr>
                                  <w:rFonts w:hint="eastAsia"/>
                                  <w:sz w:val="18"/>
                                  <w:szCs w:val="18"/>
                                </w:rPr>
                                <w:t>基础施工</w:t>
                              </w:r>
                            </w:p>
                          </w:txbxContent>
                        </v:textbox>
                      </v:shape>
                      <v:shape id="_x0000_s1026" o:spid="_x0000_s1026" o:spt="32" type="#_x0000_t32" style="position:absolute;left:3827780;top:957580;flip:y;height:3175;width:271780;" filled="f" stroked="t" coordsize="21600,21600" o:gfxdata="UEsDBAoAAAAAAIdO4kAAAAAAAAAAAAAAAAAEAAAAZHJzL1BLAwQUAAAACACHTuJA/tqNvdYAAAAF&#10;AQAADwAAAGRycy9kb3ducmV2LnhtbE2PwU7DMBBE70j8g7VIXBC1E0EJIU4PQOGEKkK5b+MliRqv&#10;o9htk7/HcIHLSqMZzbwtVpPtxZFG3znWkCwUCOLamY4bDduP9XUGwgdkg71j0jCTh1V5flZgbtyJ&#10;3+lYhUbEEvY5amhDGHIpfd2SRb9wA3H0vtxoMUQ5NtKMeIrltpepUktpseO40OJAjy3V++pgNTxV&#10;m9v159V2Suf69a16yfYbnp+1vrxI1AOIQFP4C8MPfkSHMjLt3IGNF72G+Ej4vdG7y5YJiJ2GVN3f&#10;gCwL+Z++/AZQSwMEFAAAAAgAh07iQIjNj0f7AQAAuwMAAA4AAABkcnMvZTJvRG9jLnhtbK1TS44T&#10;MRDdI3EHy3vSSUYhoZXOLBKGDYJIfPYVf7ot+SfbpJNLcAEkVsCKYTV7TgPDMSi7wwwfsUH0wip3&#10;uV6991xenh+MJnsRonK2oZPRmBJhmePKtg198fzi3oKSmMBy0M6Khh5FpOeru3eWva/F1HVOcxEI&#10;gthY976hXUq+rqrIOmEgjpwXFpPSBQMJt6GteIAe0Y2upuPx/ap3gfvgmIgR/26GJF0VfCkFS0+l&#10;jCIR3VDklsoayrrLa7VaQt0G8J1iJxrwDywMKItNb6A2kIC8CuoPKKNYcNHJNGLOVE5KxUTRgGom&#10;49/UPOvAi6IFzYn+xqb4/2DZk/02EMUbejajxILBO7p+c/X19fvrT5df3l19+/w2xx8/EMyjWb2P&#10;Ndas7TacdtFvQ1Z+kMEQqZV/iXNQvEB15IDAi+l8vkDzjw19MJvPMCyui0MiDPPT+aSkGebPJvPS&#10;phrwMq4PMT0SzpAcNDSmAKrt0tpZi7frwtAL9o9jQlgs/FGQi7Ulfe46RXEMcL6khoSh8ag42rbw&#10;jE4rfqG0zhUxtLu1DmQPeWLKl+ki7i/HcpMNxG44V1KDqk4Af2g5SUePVlocepopGMEp0QLfSI6K&#10;/gRK355MQYFt9V9OY3ttkUW2fzA8RzvHj+Ueyn+ckMLzNM15BH/el+rbN7f6D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P7ajb3WAAAABQEAAA8AAAAAAAAAAQAgAAAAIgAAAGRycy9kb3ducmV2Lnht&#10;bFBLAQIUABQAAAAIAIdO4kCIzY9H+wEAALsDAAAOAAAAAAAAAAEAIAAAACUBAABkcnMvZTJvRG9j&#10;LnhtbFBLBQYAAAAABgAGAFkBAACSBQAAAAA=&#10;">
                        <v:fill on="f" focussize="0,0"/>
                        <v:stroke color="#000000" joinstyle="round" endarrow="block"/>
                        <v:imagedata o:title=""/>
                        <o:lock v:ext="edit" aspectratio="f"/>
                      </v:shape>
                      <v:shape id="_x0000_s1026" o:spid="_x0000_s1026" o:spt="32" type="#_x0000_t32" style="position:absolute;left:3195955;top:293370;flip:x y;height:514985;width:219075;" filled="f" stroked="t" coordsize="21600,21600" o:gfxdata="UEsDBAoAAAAAAIdO4kAAAAAAAAAAAAAAAAAEAAAAZHJzL1BLAwQUAAAACACHTuJATfT36tYAAAAF&#10;AQAADwAAAGRycy9kb3ducmV2LnhtbE2PQUvDQBCF74L/YRnBm91NKbHGbIoI0oMoWMWmt212TILZ&#10;2bC7beq/d/SilwfDG977Xrk6uUEcMcTek4ZspkAgNd721Gp4e324WoKIyZA1gyfU8IURVtX5WWkK&#10;6yd6weMmtYJDKBZGQ5fSWEgZmw6diTM/IrH34YMzic/QShvMxOFukHOlculMT9zQmRHvO2w+NwfH&#10;JXWWb++mx6c6rp/X9U4uKLx7rS8vMnULIuEp/T3DDz6jQ8VMe38gG8WggYekX2XveplnIPYa5upm&#10;AbIq5X/66htQSwMEFAAAAAgAh07iQISDxd0EAgAAxgMAAA4AAABkcnMvZTJvRG9jLnhtbK1TS44T&#10;MRDdI3EHy3vSnYTMTFrpzCJhYIEgEp99xXZ3W/JPtkknl+ACSKxgVsBq9pwGhmNQdocZPmKD6IVV&#10;7qp6VfXqeXG+14rshA/SmpqORyUlwjDLpWlr+uL5xb0zSkIEw0FZI2p6EIGeL+/eWfSuEhPbWcWF&#10;JwhiQtW7mnYxuqooAuuEhjCyThh0NtZriHj1bcE99IiuVTEpy5Oit547b5kIAf+uByddZvymESw+&#10;bZogIlE1xd5iPn0+t+kslguoWg+uk+zYBvxDFxqkwaI3UGuIQF55+QeUlszbYJs4YlYXtmkkE3kG&#10;nGZc/jbNsw6cyLMgOcHd0BT+Hyx7stt4InlNpyeUGNC4o+s3V19fv7/+9PHLu6tvn98m+8MlQT+S&#10;1btQYc7KbPzxFtzGp8n3jdekUdI9Qh3QbL1MVvLhnGSPJcbz2Xw2o+RQ08l8Oj098i/2kTD0T8bz&#10;8hTdDP2z8f352SyVLAbshON8iA+F1SQZNQ3Rg2y7uLLG4KatH6rB7nGIQ+KPhJSsDOlTD7kCoNYa&#10;BRGLaYfTB9PmToNVkl9IpVJG8O12pTzZQVJP/o4N/RKWiqwhdEMcRytFQdUJ4A8MJ/HgkFWD+qep&#10;Ay04JUrgc0lWjowg1W1k9BJMq/4SjXQog6ykTQzcJ2tr+SGvJP9HsWTejsJOavz5nrNvn9/yO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309+rWAAAABQEAAA8AAAAAAAAAAQAgAAAAIgAAAGRycy9k&#10;b3ducmV2LnhtbFBLAQIUABQAAAAIAIdO4kCEg8XdBAIAAMYDAAAOAAAAAAAAAAEAIAAAACUBAABk&#10;cnMvZTJvRG9jLnhtbFBLBQYAAAAABgAGAFkBAACbBQAAAAA=&#10;">
                        <v:fill on="f" focussize="0,0"/>
                        <v:stroke weight="0.25pt" color="#000000" joinstyle="round" dashstyle="dash" endarrow="block"/>
                        <v:imagedata o:title=""/>
                        <o:lock v:ext="edit" aspectratio="f"/>
                      </v:shape>
                      <w10:wrap type="none"/>
                      <w10:anchorlock/>
                    </v:group>
                  </w:pict>
                </mc:Fallback>
              </mc:AlternateContent>
            </w:r>
          </w:p>
          <w:p>
            <w:pPr>
              <w:jc w:val="center"/>
              <w:rPr>
                <w:rFonts w:eastAsia="黑体"/>
                <w:sz w:val="18"/>
                <w:szCs w:val="18"/>
              </w:rPr>
            </w:pPr>
            <w:r>
              <w:rPr>
                <w:rFonts w:eastAsia="黑体"/>
                <w:sz w:val="18"/>
                <w:szCs w:val="18"/>
              </w:rPr>
              <w:t>图4</w:t>
            </w:r>
            <w:r>
              <w:rPr>
                <w:rFonts w:hint="eastAsia" w:eastAsia="黑体"/>
                <w:sz w:val="18"/>
                <w:szCs w:val="18"/>
              </w:rPr>
              <w:t>.1</w:t>
            </w:r>
            <w:r>
              <w:rPr>
                <w:rFonts w:eastAsia="黑体"/>
                <w:sz w:val="18"/>
                <w:szCs w:val="18"/>
              </w:rPr>
              <w:t>-1  本项目架空线路施工产污环节示意图</w:t>
            </w:r>
          </w:p>
          <w:p>
            <w:pPr>
              <w:pStyle w:val="32"/>
              <w:keepLines/>
              <w:numPr>
                <w:ilvl w:val="0"/>
                <w:numId w:val="8"/>
              </w:numPr>
              <w:spacing w:line="360" w:lineRule="auto"/>
              <w:ind w:firstLineChars="0"/>
              <w:outlineLvl w:val="1"/>
              <w:rPr>
                <w:rFonts w:eastAsia="黑体" w:cs="Times New Roman"/>
                <w:bCs/>
                <w:szCs w:val="32"/>
              </w:rPr>
            </w:pPr>
            <w:r>
              <w:rPr>
                <w:rFonts w:eastAsia="黑体" w:cs="Times New Roman"/>
                <w:bCs/>
                <w:szCs w:val="32"/>
              </w:rPr>
              <w:t>施工期生态环境影响分析</w:t>
            </w:r>
          </w:p>
          <w:p>
            <w:pPr>
              <w:keepLines/>
              <w:numPr>
                <w:ilvl w:val="1"/>
                <w:numId w:val="0"/>
              </w:numPr>
              <w:spacing w:line="360" w:lineRule="auto"/>
              <w:outlineLvl w:val="2"/>
              <w:rPr>
                <w:rFonts w:eastAsia="黑体" w:cs="Times New Roman"/>
                <w:szCs w:val="32"/>
              </w:rPr>
            </w:pPr>
            <w:r>
              <w:rPr>
                <w:rFonts w:eastAsia="黑体" w:cs="Times New Roman"/>
                <w:szCs w:val="32"/>
              </w:rPr>
              <w:t>2.1  对区域植物的影响</w:t>
            </w:r>
          </w:p>
          <w:p>
            <w:pPr>
              <w:spacing w:line="360" w:lineRule="auto"/>
              <w:ind w:firstLine="420" w:firstLineChars="200"/>
              <w:rPr>
                <w:rFonts w:cs="Times New Roman"/>
                <w:szCs w:val="21"/>
                <w:highlight w:val="yellow"/>
              </w:rPr>
            </w:pPr>
            <w:r>
              <w:rPr>
                <w:rFonts w:cs="Times New Roman"/>
                <w:szCs w:val="21"/>
              </w:rPr>
              <w:t>根据现场踏勘及设计资料，</w:t>
            </w:r>
            <w:r>
              <w:rPr>
                <w:rFonts w:hint="eastAsia" w:cs="Times New Roman"/>
                <w:szCs w:val="21"/>
              </w:rPr>
              <w:t>本项目新建架空线路主要沿农田、道路敷设，沿线植被主要为农田植被（水稻、小麦、玉米）、园地（枇杷、桑树、桃树、杏树、枣树、辣椒、茄、番茄、南瓜等）、绿化植被（香樟、臭椿、松树等）、乡村道路及河道两侧灌草丛</w:t>
            </w:r>
            <w:r>
              <w:rPr>
                <w:rFonts w:cs="Times New Roman"/>
                <w:szCs w:val="21"/>
              </w:rPr>
              <w:t>等，未发现国家级或省级</w:t>
            </w:r>
            <w:r>
              <w:rPr>
                <w:rFonts w:hint="eastAsia" w:cs="Times New Roman"/>
                <w:szCs w:val="21"/>
              </w:rPr>
              <w:t>重点保护</w:t>
            </w:r>
            <w:r>
              <w:rPr>
                <w:rFonts w:cs="Times New Roman"/>
                <w:szCs w:val="21"/>
              </w:rPr>
              <w:t>野生植物</w:t>
            </w:r>
            <w:r>
              <w:rPr>
                <w:rFonts w:hint="eastAsia" w:cs="Times New Roman"/>
                <w:szCs w:val="21"/>
              </w:rPr>
              <w:t>及挂牌的古树名木分布</w:t>
            </w:r>
            <w:r>
              <w:rPr>
                <w:rFonts w:cs="Times New Roman"/>
                <w:szCs w:val="21"/>
              </w:rPr>
              <w:t>。线路工程永久占地破坏的植被仅限塔基范围之内，临时占地对植被的破坏主要为施工人员对绿地的践踏，但由于为点状作业，单塔施工时间短，故临时占地对植被的破坏是短暂的；</w:t>
            </w:r>
            <w:r>
              <w:rPr>
                <w:rFonts w:hint="eastAsia" w:cs="Times New Roman"/>
                <w:szCs w:val="21"/>
              </w:rPr>
              <w:t>拟建</w:t>
            </w:r>
            <w:r>
              <w:rPr>
                <w:rFonts w:cs="Times New Roman"/>
                <w:szCs w:val="21"/>
              </w:rPr>
              <w:t>线路与拆除线路基础开挖、立塔以及架线时可能会对周边农作物</w:t>
            </w:r>
            <w:r>
              <w:rPr>
                <w:rFonts w:hint="eastAsia" w:cs="Times New Roman"/>
                <w:szCs w:val="21"/>
              </w:rPr>
              <w:t>、</w:t>
            </w:r>
            <w:r>
              <w:rPr>
                <w:rFonts w:cs="Times New Roman"/>
                <w:szCs w:val="21"/>
              </w:rPr>
              <w:t>植物进行破坏，甚至砍伐部分植物，建设单位砍伐植物需提前取得当地林业部门的砍伐许可证，施工时尽量减小影响范围，如涉及到影响相关农作物，需与相关人员提前协调沟通。项目施工过程中牵张场尽量选择现有平坦、空旷场地进行布置，不占用</w:t>
            </w:r>
            <w:r>
              <w:rPr>
                <w:rFonts w:hint="eastAsia" w:cs="Times New Roman"/>
                <w:szCs w:val="21"/>
              </w:rPr>
              <w:t>耕地</w:t>
            </w:r>
            <w:r>
              <w:t>，避免对沿线</w:t>
            </w:r>
            <w:r>
              <w:rPr>
                <w:rFonts w:hint="eastAsia"/>
              </w:rPr>
              <w:t>农作物</w:t>
            </w:r>
            <w:r>
              <w:t>植被产生破坏</w:t>
            </w:r>
            <w:r>
              <w:rPr>
                <w:rFonts w:cs="Times New Roman"/>
                <w:szCs w:val="21"/>
              </w:rPr>
              <w:t>。</w:t>
            </w:r>
          </w:p>
          <w:p>
            <w:pPr>
              <w:spacing w:line="360" w:lineRule="auto"/>
              <w:ind w:firstLine="420" w:firstLineChars="200"/>
              <w:rPr>
                <w:rFonts w:cs="Times New Roman"/>
                <w:szCs w:val="21"/>
                <w:highlight w:val="yellow"/>
              </w:rPr>
            </w:pPr>
            <w:r>
              <w:rPr>
                <w:rFonts w:cs="Times New Roman"/>
                <w:szCs w:val="21"/>
              </w:rPr>
              <w:t>施工临时占地对植被的破坏是短暂可逆的，施工结束后区通过播撒草籽等措施恢复植被，可恢复原有植被及土地功能。</w:t>
            </w:r>
          </w:p>
          <w:p>
            <w:pPr>
              <w:keepLines/>
              <w:numPr>
                <w:ilvl w:val="1"/>
                <w:numId w:val="0"/>
              </w:numPr>
              <w:spacing w:line="360" w:lineRule="auto"/>
              <w:outlineLvl w:val="2"/>
              <w:rPr>
                <w:rFonts w:eastAsia="黑体" w:cs="Times New Roman"/>
                <w:szCs w:val="32"/>
              </w:rPr>
            </w:pPr>
            <w:r>
              <w:rPr>
                <w:rFonts w:eastAsia="黑体" w:cs="Times New Roman"/>
                <w:szCs w:val="32"/>
              </w:rPr>
              <w:t>2.2  对动物的影响</w:t>
            </w:r>
          </w:p>
          <w:p>
            <w:pPr>
              <w:spacing w:line="360" w:lineRule="auto"/>
              <w:ind w:firstLine="420" w:firstLineChars="200"/>
              <w:rPr>
                <w:rFonts w:cs="Times New Roman"/>
                <w:szCs w:val="21"/>
              </w:rPr>
            </w:pPr>
            <w:r>
              <w:rPr>
                <w:rFonts w:cs="Times New Roman"/>
                <w:szCs w:val="21"/>
              </w:rPr>
              <w:t>工程</w:t>
            </w:r>
            <w:r>
              <w:rPr>
                <w:rFonts w:hint="eastAsia" w:cs="Times New Roman"/>
                <w:szCs w:val="21"/>
              </w:rPr>
              <w:t>拟建输电线路</w:t>
            </w:r>
            <w:r>
              <w:rPr>
                <w:rFonts w:cs="Times New Roman"/>
                <w:szCs w:val="21"/>
              </w:rPr>
              <w:t>沿线人类活动均较为频繁，有蛙、蛇等常见的野生动物。经调查，</w:t>
            </w:r>
            <w:r>
              <w:rPr>
                <w:rFonts w:hint="eastAsia" w:cs="Times New Roman"/>
                <w:szCs w:val="21"/>
              </w:rPr>
              <w:t>拟建</w:t>
            </w:r>
            <w:r>
              <w:rPr>
                <w:rFonts w:cs="Times New Roman"/>
                <w:szCs w:val="21"/>
              </w:rPr>
              <w:t>输电线路沿线未发现国家及地方</w:t>
            </w:r>
            <w:r>
              <w:rPr>
                <w:rFonts w:hint="eastAsia" w:cs="Times New Roman"/>
                <w:szCs w:val="21"/>
              </w:rPr>
              <w:t>重点保护</w:t>
            </w:r>
            <w:r>
              <w:rPr>
                <w:rFonts w:cs="Times New Roman"/>
                <w:szCs w:val="21"/>
              </w:rPr>
              <w:t>野生</w:t>
            </w:r>
            <w:r>
              <w:rPr>
                <w:rFonts w:hint="eastAsia" w:cs="Times New Roman"/>
                <w:szCs w:val="21"/>
              </w:rPr>
              <w:t>动物</w:t>
            </w:r>
            <w:r>
              <w:rPr>
                <w:rFonts w:cs="Times New Roman"/>
                <w:szCs w:val="21"/>
              </w:rPr>
              <w:t>及其集中栖息地。</w:t>
            </w:r>
            <w:r>
              <w:rPr>
                <w:rFonts w:hint="eastAsia" w:cs="Times New Roman"/>
                <w:szCs w:val="21"/>
              </w:rPr>
              <w:t>本项目</w:t>
            </w:r>
            <w:r>
              <w:rPr>
                <w:rFonts w:cs="Times New Roman"/>
                <w:szCs w:val="21"/>
              </w:rPr>
              <w:t>施工活动会对施工区附近的野生动物造成一定的影响。工程影响主要集中在施工期，施工结束后即可恢复。</w:t>
            </w:r>
          </w:p>
          <w:p>
            <w:pPr>
              <w:keepLines/>
              <w:numPr>
                <w:ilvl w:val="1"/>
                <w:numId w:val="0"/>
              </w:numPr>
              <w:spacing w:line="360" w:lineRule="auto"/>
              <w:outlineLvl w:val="2"/>
              <w:rPr>
                <w:rFonts w:eastAsia="黑体" w:cs="Times New Roman"/>
                <w:szCs w:val="32"/>
              </w:rPr>
            </w:pPr>
            <w:r>
              <w:rPr>
                <w:rFonts w:eastAsia="黑体" w:cs="Times New Roman"/>
                <w:szCs w:val="32"/>
              </w:rPr>
              <w:t>2.3  对土地利用的影响</w:t>
            </w:r>
          </w:p>
          <w:p>
            <w:pPr>
              <w:spacing w:line="360" w:lineRule="auto"/>
              <w:ind w:firstLine="420" w:firstLineChars="200"/>
              <w:rPr>
                <w:rFonts w:cs="Times New Roman"/>
                <w:szCs w:val="21"/>
              </w:rPr>
            </w:pPr>
            <w:r>
              <w:rPr>
                <w:rFonts w:cs="Times New Roman"/>
                <w:bCs/>
                <w:szCs w:val="32"/>
              </w:rPr>
              <w:t>本</w:t>
            </w:r>
            <w:r>
              <w:rPr>
                <w:rFonts w:hint="eastAsia" w:cs="Times New Roman"/>
                <w:bCs/>
                <w:szCs w:val="32"/>
              </w:rPr>
              <w:t>项目新建双回路杆塔4基</w:t>
            </w:r>
            <w:r>
              <w:rPr>
                <w:rFonts w:cs="Times New Roman"/>
                <w:bCs/>
                <w:szCs w:val="32"/>
              </w:rPr>
              <w:t>，单个铁塔占地约</w:t>
            </w:r>
            <w:r>
              <w:rPr>
                <w:rFonts w:hint="eastAsia" w:cs="Times New Roman"/>
                <w:bCs/>
                <w:szCs w:val="32"/>
              </w:rPr>
              <w:t>25</w:t>
            </w:r>
            <w:r>
              <w:rPr>
                <w:rFonts w:cs="Times New Roman"/>
                <w:bCs/>
                <w:szCs w:val="32"/>
              </w:rPr>
              <w:t>m</w:t>
            </w:r>
            <w:r>
              <w:rPr>
                <w:rFonts w:cs="Times New Roman"/>
                <w:bCs/>
                <w:szCs w:val="32"/>
                <w:vertAlign w:val="superscript"/>
              </w:rPr>
              <w:t>2</w:t>
            </w:r>
            <w:r>
              <w:rPr>
                <w:rFonts w:cs="Times New Roman"/>
                <w:bCs/>
                <w:szCs w:val="32"/>
              </w:rPr>
              <w:t>，塔基永久占地面积约100m</w:t>
            </w:r>
            <w:r>
              <w:rPr>
                <w:rFonts w:cs="Times New Roman"/>
                <w:bCs/>
                <w:szCs w:val="32"/>
                <w:vertAlign w:val="superscript"/>
              </w:rPr>
              <w:t>2</w:t>
            </w:r>
            <w:r>
              <w:rPr>
                <w:rFonts w:cs="Times New Roman"/>
                <w:bCs/>
                <w:szCs w:val="32"/>
              </w:rPr>
              <w:t>；本项目拆除</w:t>
            </w:r>
            <w:r>
              <w:rPr>
                <w:rFonts w:hint="eastAsia" w:cs="Times New Roman"/>
                <w:bCs/>
                <w:szCs w:val="32"/>
              </w:rPr>
              <w:t>铁塔3基</w:t>
            </w:r>
            <w:r>
              <w:rPr>
                <w:rFonts w:cs="Times New Roman"/>
                <w:bCs/>
                <w:szCs w:val="32"/>
              </w:rPr>
              <w:t>，恢复土地面积约75m</w:t>
            </w:r>
            <w:r>
              <w:rPr>
                <w:rFonts w:cs="Times New Roman"/>
                <w:bCs/>
                <w:szCs w:val="32"/>
                <w:vertAlign w:val="superscript"/>
              </w:rPr>
              <w:t>2</w:t>
            </w:r>
            <w:r>
              <w:rPr>
                <w:rFonts w:hint="eastAsia" w:cs="Times New Roman"/>
                <w:szCs w:val="21"/>
              </w:rPr>
              <w:t>。</w:t>
            </w:r>
            <w:r>
              <w:rPr>
                <w:rFonts w:cs="Times New Roman"/>
                <w:szCs w:val="21"/>
              </w:rPr>
              <w:t>本项目输电线路临时占地总面积</w:t>
            </w:r>
            <w:r>
              <w:rPr>
                <w:rFonts w:hint="eastAsia" w:cs="Times New Roman"/>
                <w:szCs w:val="21"/>
              </w:rPr>
              <w:t>约</w:t>
            </w:r>
            <w:r>
              <w:rPr>
                <w:rFonts w:cs="Times New Roman"/>
                <w:szCs w:val="21"/>
              </w:rPr>
              <w:t>为300m</w:t>
            </w:r>
            <w:r>
              <w:rPr>
                <w:rFonts w:cs="Times New Roman"/>
                <w:szCs w:val="21"/>
                <w:vertAlign w:val="superscript"/>
              </w:rPr>
              <w:t>2</w:t>
            </w:r>
            <w:r>
              <w:rPr>
                <w:rFonts w:cs="Times New Roman"/>
                <w:szCs w:val="21"/>
              </w:rPr>
              <w:t>，线路工程临时占地主要由塔基材料堆放及施工作业面、塔基临时堆土占地、牵张场、施工便道等。</w:t>
            </w:r>
            <w:r>
              <w:rPr>
                <w:rFonts w:hint="eastAsia" w:cs="Times New Roman"/>
                <w:szCs w:val="21"/>
              </w:rPr>
              <w:t>工程沿线临时占地主要土地利用类型为</w:t>
            </w:r>
            <w:r>
              <w:rPr>
                <w:rFonts w:hint="eastAsia" w:cs="Times New Roman"/>
                <w:bCs/>
                <w:szCs w:val="32"/>
              </w:rPr>
              <w:t>建设用地、农用地</w:t>
            </w:r>
            <w:r>
              <w:rPr>
                <w:rFonts w:cs="Times New Roman"/>
                <w:bCs/>
                <w:szCs w:val="32"/>
              </w:rPr>
              <w:t>、</w:t>
            </w:r>
            <w:r>
              <w:rPr>
                <w:rFonts w:hint="eastAsia" w:cs="Times New Roman"/>
                <w:bCs/>
                <w:szCs w:val="32"/>
              </w:rPr>
              <w:t>园地及</w:t>
            </w:r>
            <w:r>
              <w:rPr>
                <w:rFonts w:cs="Times New Roman"/>
                <w:bCs/>
                <w:szCs w:val="32"/>
              </w:rPr>
              <w:t>交通运输用地</w:t>
            </w:r>
            <w:r>
              <w:rPr>
                <w:rFonts w:hint="eastAsia" w:cs="Times New Roman"/>
                <w:szCs w:val="21"/>
              </w:rPr>
              <w:t>等，</w:t>
            </w:r>
            <w:r>
              <w:rPr>
                <w:rFonts w:cs="Times New Roman"/>
                <w:szCs w:val="21"/>
              </w:rPr>
              <w:t>线路塔基施工场地尽量选择周边现有空地，</w:t>
            </w:r>
            <w:r>
              <w:rPr>
                <w:rFonts w:cs="Times New Roman"/>
                <w:szCs w:val="21"/>
                <w:lang w:val="zh-CN"/>
              </w:rPr>
              <w:t>牵张场应选择地势平坦的未利用地进行布置，尽量少占用</w:t>
            </w:r>
            <w:r>
              <w:rPr>
                <w:rFonts w:hint="eastAsia" w:cs="Times New Roman"/>
                <w:szCs w:val="21"/>
                <w:lang w:val="zh-CN"/>
              </w:rPr>
              <w:t>农用地</w:t>
            </w:r>
            <w:r>
              <w:rPr>
                <w:rFonts w:cs="Times New Roman"/>
                <w:szCs w:val="21"/>
                <w:lang w:val="zh-CN"/>
              </w:rPr>
              <w:t>，施工结束后，占地区应按照原有土地利用类型进行恢复</w:t>
            </w:r>
            <w:r>
              <w:rPr>
                <w:rFonts w:cs="Times New Roman"/>
                <w:szCs w:val="21"/>
              </w:rPr>
              <w:t>。施工</w:t>
            </w:r>
            <w:r>
              <w:rPr>
                <w:rFonts w:hint="eastAsia" w:cs="Times New Roman"/>
                <w:szCs w:val="21"/>
              </w:rPr>
              <w:t>过程</w:t>
            </w:r>
            <w:r>
              <w:rPr>
                <w:rFonts w:cs="Times New Roman"/>
                <w:szCs w:val="21"/>
              </w:rPr>
              <w:t>中</w:t>
            </w:r>
            <w:r>
              <w:rPr>
                <w:rFonts w:hint="eastAsia" w:cs="Times New Roman"/>
                <w:szCs w:val="21"/>
              </w:rPr>
              <w:t>应</w:t>
            </w:r>
            <w:r>
              <w:rPr>
                <w:rFonts w:cs="Times New Roman"/>
                <w:szCs w:val="21"/>
              </w:rPr>
              <w:t>尽量控制施工开挖量，减少对基底土层的扰动，开挖后的施工弃土就地回填平整；施工场料选择堆放于沿线空地，施工材料运输应充分利用现有道路，减少施工临时占地。施工结束前清理施工迹地，及时覆土进行植被恢复</w:t>
            </w:r>
            <w:r>
              <w:rPr>
                <w:rFonts w:hint="eastAsia" w:cs="Times New Roman"/>
                <w:szCs w:val="21"/>
              </w:rPr>
              <w:t>，因此，本工程的建设对沿线区域土地利用影响很小</w:t>
            </w:r>
            <w:r>
              <w:rPr>
                <w:rFonts w:cs="Times New Roman"/>
                <w:szCs w:val="21"/>
              </w:rPr>
              <w:t>。</w:t>
            </w:r>
          </w:p>
          <w:p>
            <w:pPr>
              <w:pStyle w:val="32"/>
              <w:keepLines/>
              <w:numPr>
                <w:ilvl w:val="1"/>
                <w:numId w:val="9"/>
              </w:numPr>
              <w:spacing w:line="360" w:lineRule="auto"/>
              <w:ind w:firstLineChars="0"/>
              <w:outlineLvl w:val="1"/>
              <w:rPr>
                <w:rFonts w:cs="Times New Roman"/>
                <w:szCs w:val="24"/>
              </w:rPr>
            </w:pPr>
            <w:r>
              <w:rPr>
                <w:rFonts w:eastAsia="黑体" w:cs="Times New Roman"/>
                <w:bCs/>
                <w:szCs w:val="32"/>
              </w:rPr>
              <w:t>施工期声环境影响分析</w:t>
            </w:r>
          </w:p>
          <w:p>
            <w:pPr>
              <w:spacing w:line="360" w:lineRule="auto"/>
              <w:ind w:firstLine="420" w:firstLineChars="200"/>
              <w:rPr>
                <w:rFonts w:cs="Times New Roman"/>
                <w:szCs w:val="21"/>
              </w:rPr>
            </w:pPr>
            <w:r>
              <w:rPr>
                <w:rFonts w:cs="Times New Roman"/>
                <w:szCs w:val="21"/>
              </w:rPr>
              <w:t>机械设备露天作业，无其他声屏障。施工噪声经距离和大气吸收衰减后到达预测点，采用以下公式作为预测模式：</w:t>
            </w:r>
          </w:p>
          <w:p>
            <w:pPr>
              <w:pStyle w:val="10"/>
              <w:snapToGrid w:val="0"/>
              <w:jc w:val="center"/>
              <w:rPr>
                <w:highlight w:val="yellow"/>
              </w:rPr>
            </w:pPr>
            <w:r>
              <w:drawing>
                <wp:inline distT="0" distB="0" distL="114300" distR="114300">
                  <wp:extent cx="1747520" cy="227330"/>
                  <wp:effectExtent l="0" t="0" r="5080" b="127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1"/>
                          <a:stretch>
                            <a:fillRect/>
                          </a:stretch>
                        </pic:blipFill>
                        <pic:spPr>
                          <a:xfrm>
                            <a:off x="0" y="0"/>
                            <a:ext cx="1747520" cy="227330"/>
                          </a:xfrm>
                          <a:prstGeom prst="rect">
                            <a:avLst/>
                          </a:prstGeom>
                          <a:noFill/>
                          <a:ln>
                            <a:noFill/>
                          </a:ln>
                        </pic:spPr>
                      </pic:pic>
                    </a:graphicData>
                  </a:graphic>
                </wp:inline>
              </w:drawing>
            </w:r>
          </w:p>
          <w:p>
            <w:pPr>
              <w:spacing w:line="360" w:lineRule="auto"/>
              <w:ind w:firstLine="420" w:firstLineChars="200"/>
              <w:rPr>
                <w:rFonts w:cs="Times New Roman"/>
                <w:szCs w:val="21"/>
              </w:rPr>
            </w:pPr>
            <w:r>
              <w:rPr>
                <w:rFonts w:cs="Times New Roman"/>
                <w:szCs w:val="21"/>
              </w:rPr>
              <w:t>式中：L</w:t>
            </w:r>
            <w:r>
              <w:rPr>
                <w:rFonts w:cs="Times New Roman"/>
                <w:szCs w:val="21"/>
                <w:vertAlign w:val="subscript"/>
              </w:rPr>
              <w:t>P</w:t>
            </w:r>
            <w:r>
              <w:rPr>
                <w:rFonts w:cs="Times New Roman"/>
                <w:szCs w:val="21"/>
              </w:rPr>
              <w:t>(r)——预测点处声压级，dB；</w:t>
            </w:r>
          </w:p>
          <w:p>
            <w:pPr>
              <w:spacing w:line="360" w:lineRule="auto"/>
              <w:ind w:firstLine="420" w:firstLineChars="200"/>
              <w:rPr>
                <w:rFonts w:cs="Times New Roman"/>
                <w:szCs w:val="21"/>
              </w:rPr>
            </w:pPr>
            <w:r>
              <w:rPr>
                <w:rFonts w:cs="Times New Roman"/>
                <w:szCs w:val="21"/>
              </w:rPr>
              <w:t>L</w:t>
            </w:r>
            <w:r>
              <w:rPr>
                <w:rFonts w:cs="Times New Roman"/>
                <w:szCs w:val="21"/>
                <w:vertAlign w:val="subscript"/>
              </w:rPr>
              <w:t>p</w:t>
            </w:r>
            <w:r>
              <w:rPr>
                <w:rFonts w:cs="Times New Roman"/>
                <w:szCs w:val="21"/>
              </w:rPr>
              <w:t>(r0)——参考位置r</w:t>
            </w:r>
            <w:r>
              <w:rPr>
                <w:rFonts w:cs="Times New Roman"/>
                <w:szCs w:val="21"/>
                <w:vertAlign w:val="subscript"/>
              </w:rPr>
              <w:t>0</w:t>
            </w:r>
            <w:r>
              <w:rPr>
                <w:rFonts w:cs="Times New Roman"/>
                <w:szCs w:val="21"/>
              </w:rPr>
              <w:t>处的声压级，dB；</w:t>
            </w:r>
          </w:p>
          <w:p>
            <w:pPr>
              <w:spacing w:line="360" w:lineRule="auto"/>
              <w:ind w:firstLine="420" w:firstLineChars="200"/>
              <w:rPr>
                <w:rFonts w:cs="Times New Roman"/>
                <w:szCs w:val="21"/>
              </w:rPr>
            </w:pPr>
            <w:r>
              <w:rPr>
                <w:rFonts w:cs="Times New Roman"/>
                <w:szCs w:val="21"/>
              </w:rPr>
              <w:t>r ——预测点距声源的距离，m；</w:t>
            </w:r>
          </w:p>
          <w:p>
            <w:pPr>
              <w:spacing w:line="360" w:lineRule="auto"/>
              <w:ind w:firstLine="420" w:firstLineChars="200"/>
              <w:rPr>
                <w:rFonts w:cs="Times New Roman"/>
                <w:szCs w:val="21"/>
              </w:rPr>
            </w:pPr>
            <w:r>
              <w:rPr>
                <w:rFonts w:cs="Times New Roman"/>
                <w:szCs w:val="21"/>
              </w:rPr>
              <w:t>r</w:t>
            </w:r>
            <w:r>
              <w:rPr>
                <w:rFonts w:cs="Times New Roman"/>
                <w:szCs w:val="21"/>
                <w:vertAlign w:val="subscript"/>
              </w:rPr>
              <w:t>0</w:t>
            </w:r>
            <w:r>
              <w:rPr>
                <w:rFonts w:cs="Times New Roman"/>
                <w:szCs w:val="21"/>
              </w:rPr>
              <w:t xml:space="preserve"> ——参考位置距声源的距离，m；</w:t>
            </w:r>
          </w:p>
          <w:p>
            <w:pPr>
              <w:spacing w:line="360" w:lineRule="auto"/>
              <w:ind w:firstLine="420" w:firstLineChars="200"/>
              <w:rPr>
                <w:rFonts w:cs="Times New Roman"/>
                <w:szCs w:val="21"/>
              </w:rPr>
            </w:pPr>
            <w:r>
              <w:rPr>
                <w:rFonts w:cs="Times New Roman"/>
                <w:szCs w:val="21"/>
              </w:rPr>
              <w:t>根据《环境噪声与振动控制工程技术导则》（HJ2034-2013），结合输电线路架设施工工艺流程特点，本工程常用施工设备噪声源强及随距离衰减情况详见表 4.3-1、表4.3-2。</w:t>
            </w:r>
          </w:p>
          <w:p>
            <w:pPr>
              <w:pStyle w:val="67"/>
              <w:rPr>
                <w:snapToGrid/>
                <w:sz w:val="18"/>
                <w:szCs w:val="18"/>
              </w:rPr>
            </w:pPr>
            <w:r>
              <w:rPr>
                <w:rFonts w:hint="eastAsia"/>
                <w:snapToGrid/>
                <w:sz w:val="18"/>
                <w:szCs w:val="18"/>
              </w:rPr>
              <w:t>输电线路施工期噪声源调查清单（室外声源）</w:t>
            </w:r>
          </w:p>
          <w:p>
            <w:pPr>
              <w:pStyle w:val="68"/>
              <w:ind w:firstLine="180" w:firstLineChars="100"/>
              <w:jc w:val="both"/>
              <w:rPr>
                <w:rFonts w:eastAsia="黑体"/>
                <w:sz w:val="18"/>
                <w:szCs w:val="18"/>
              </w:rPr>
            </w:pPr>
            <w:r>
              <w:rPr>
                <w:rFonts w:hint="eastAsia" w:eastAsia="黑体"/>
                <w:sz w:val="18"/>
                <w:szCs w:val="18"/>
              </w:rPr>
              <w:t>表4.3-1</w:t>
            </w:r>
          </w:p>
          <w:tbl>
            <w:tblPr>
              <w:tblStyle w:val="26"/>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3"/>
              <w:gridCol w:w="1531"/>
              <w:gridCol w:w="551"/>
              <w:gridCol w:w="571"/>
              <w:gridCol w:w="592"/>
              <w:gridCol w:w="1009"/>
              <w:gridCol w:w="974"/>
              <w:gridCol w:w="1475"/>
              <w:gridCol w:w="14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12" w:type="pct"/>
                  <w:vMerge w:val="restart"/>
                  <w:vAlign w:val="center"/>
                </w:tcPr>
                <w:p>
                  <w:pPr>
                    <w:pStyle w:val="67"/>
                    <w:adjustRightInd w:val="0"/>
                    <w:snapToGrid w:val="0"/>
                    <w:rPr>
                      <w:rFonts w:eastAsia="宋体"/>
                      <w:snapToGrid/>
                      <w:sz w:val="18"/>
                      <w:szCs w:val="18"/>
                    </w:rPr>
                  </w:pPr>
                  <w:r>
                    <w:rPr>
                      <w:rFonts w:eastAsia="宋体"/>
                      <w:snapToGrid/>
                      <w:sz w:val="18"/>
                      <w:szCs w:val="18"/>
                    </w:rPr>
                    <w:t>序号</w:t>
                  </w:r>
                </w:p>
              </w:tc>
              <w:tc>
                <w:tcPr>
                  <w:tcW w:w="880" w:type="pct"/>
                  <w:vMerge w:val="restart"/>
                  <w:vAlign w:val="center"/>
                </w:tcPr>
                <w:p>
                  <w:pPr>
                    <w:pStyle w:val="67"/>
                    <w:adjustRightInd w:val="0"/>
                    <w:snapToGrid w:val="0"/>
                    <w:rPr>
                      <w:rFonts w:eastAsia="宋体"/>
                      <w:snapToGrid/>
                      <w:sz w:val="18"/>
                      <w:szCs w:val="18"/>
                    </w:rPr>
                  </w:pPr>
                  <w:r>
                    <w:rPr>
                      <w:rFonts w:eastAsia="宋体"/>
                      <w:snapToGrid/>
                      <w:sz w:val="18"/>
                      <w:szCs w:val="18"/>
                    </w:rPr>
                    <w:t>声源设备</w:t>
                  </w:r>
                </w:p>
              </w:tc>
              <w:tc>
                <w:tcPr>
                  <w:tcW w:w="985" w:type="pct"/>
                  <w:gridSpan w:val="3"/>
                  <w:vAlign w:val="center"/>
                </w:tcPr>
                <w:p>
                  <w:pPr>
                    <w:pStyle w:val="67"/>
                    <w:adjustRightInd w:val="0"/>
                    <w:snapToGrid w:val="0"/>
                    <w:rPr>
                      <w:rFonts w:eastAsia="宋体"/>
                      <w:snapToGrid/>
                      <w:sz w:val="18"/>
                      <w:szCs w:val="18"/>
                    </w:rPr>
                  </w:pPr>
                  <w:r>
                    <w:rPr>
                      <w:rFonts w:eastAsia="宋体"/>
                      <w:snapToGrid/>
                      <w:sz w:val="18"/>
                      <w:szCs w:val="18"/>
                    </w:rPr>
                    <w:t>空间相对距离/m</w:t>
                  </w:r>
                </w:p>
              </w:tc>
              <w:tc>
                <w:tcPr>
                  <w:tcW w:w="1140" w:type="pct"/>
                  <w:gridSpan w:val="2"/>
                  <w:vAlign w:val="center"/>
                </w:tcPr>
                <w:p>
                  <w:pPr>
                    <w:pStyle w:val="67"/>
                    <w:adjustRightInd w:val="0"/>
                    <w:snapToGrid w:val="0"/>
                    <w:rPr>
                      <w:rFonts w:eastAsia="宋体"/>
                      <w:snapToGrid/>
                      <w:sz w:val="18"/>
                      <w:szCs w:val="18"/>
                    </w:rPr>
                  </w:pPr>
                  <w:r>
                    <w:rPr>
                      <w:rFonts w:eastAsia="宋体"/>
                      <w:snapToGrid/>
                      <w:sz w:val="18"/>
                      <w:szCs w:val="18"/>
                    </w:rPr>
                    <w:t>声源源强</w:t>
                  </w:r>
                </w:p>
              </w:tc>
              <w:tc>
                <w:tcPr>
                  <w:tcW w:w="848" w:type="pct"/>
                  <w:vMerge w:val="restart"/>
                  <w:vAlign w:val="center"/>
                </w:tcPr>
                <w:p>
                  <w:pPr>
                    <w:pStyle w:val="67"/>
                    <w:adjustRightInd w:val="0"/>
                    <w:snapToGrid w:val="0"/>
                    <w:rPr>
                      <w:rFonts w:eastAsia="宋体"/>
                      <w:snapToGrid/>
                      <w:sz w:val="18"/>
                      <w:szCs w:val="18"/>
                    </w:rPr>
                  </w:pPr>
                  <w:r>
                    <w:rPr>
                      <w:rFonts w:eastAsia="宋体"/>
                      <w:snapToGrid/>
                      <w:sz w:val="18"/>
                      <w:szCs w:val="18"/>
                    </w:rPr>
                    <w:t>声源控制措施</w:t>
                  </w:r>
                </w:p>
              </w:tc>
              <w:tc>
                <w:tcPr>
                  <w:tcW w:w="835" w:type="pct"/>
                  <w:vMerge w:val="restart"/>
                  <w:vAlign w:val="center"/>
                </w:tcPr>
                <w:p>
                  <w:pPr>
                    <w:pStyle w:val="67"/>
                    <w:adjustRightInd w:val="0"/>
                    <w:snapToGrid w:val="0"/>
                    <w:rPr>
                      <w:rFonts w:eastAsia="宋体"/>
                      <w:snapToGrid/>
                      <w:sz w:val="18"/>
                      <w:szCs w:val="18"/>
                    </w:rPr>
                  </w:pPr>
                  <w:r>
                    <w:rPr>
                      <w:rFonts w:eastAsia="宋体"/>
                      <w:snapToGrid/>
                      <w:sz w:val="18"/>
                      <w:szCs w:val="18"/>
                    </w:rPr>
                    <w:t>运行时段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12" w:type="pct"/>
                  <w:vMerge w:val="continue"/>
                  <w:vAlign w:val="center"/>
                </w:tcPr>
                <w:p>
                  <w:pPr>
                    <w:pStyle w:val="67"/>
                    <w:adjustRightInd w:val="0"/>
                    <w:snapToGrid w:val="0"/>
                    <w:rPr>
                      <w:rFonts w:eastAsia="宋体"/>
                      <w:sz w:val="18"/>
                      <w:szCs w:val="18"/>
                    </w:rPr>
                  </w:pPr>
                </w:p>
              </w:tc>
              <w:tc>
                <w:tcPr>
                  <w:tcW w:w="880" w:type="pct"/>
                  <w:vMerge w:val="continue"/>
                  <w:vAlign w:val="center"/>
                </w:tcPr>
                <w:p>
                  <w:pPr>
                    <w:pStyle w:val="67"/>
                    <w:adjustRightInd w:val="0"/>
                    <w:snapToGrid w:val="0"/>
                    <w:rPr>
                      <w:rFonts w:eastAsia="宋体"/>
                      <w:sz w:val="18"/>
                      <w:szCs w:val="18"/>
                    </w:rPr>
                  </w:pPr>
                </w:p>
              </w:tc>
              <w:tc>
                <w:tcPr>
                  <w:tcW w:w="317" w:type="pct"/>
                  <w:vAlign w:val="center"/>
                </w:tcPr>
                <w:p>
                  <w:pPr>
                    <w:pStyle w:val="67"/>
                    <w:adjustRightInd w:val="0"/>
                    <w:snapToGrid w:val="0"/>
                    <w:rPr>
                      <w:rFonts w:eastAsia="宋体"/>
                      <w:sz w:val="18"/>
                      <w:szCs w:val="18"/>
                    </w:rPr>
                  </w:pPr>
                  <w:r>
                    <w:rPr>
                      <w:rFonts w:eastAsia="宋体"/>
                      <w:sz w:val="18"/>
                      <w:szCs w:val="18"/>
                    </w:rPr>
                    <w:t>X</w:t>
                  </w:r>
                </w:p>
              </w:tc>
              <w:tc>
                <w:tcPr>
                  <w:tcW w:w="328" w:type="pct"/>
                  <w:vAlign w:val="center"/>
                </w:tcPr>
                <w:p>
                  <w:pPr>
                    <w:pStyle w:val="67"/>
                    <w:adjustRightInd w:val="0"/>
                    <w:snapToGrid w:val="0"/>
                    <w:rPr>
                      <w:rFonts w:eastAsia="宋体"/>
                      <w:sz w:val="18"/>
                      <w:szCs w:val="18"/>
                    </w:rPr>
                  </w:pPr>
                  <w:r>
                    <w:rPr>
                      <w:rFonts w:eastAsia="宋体"/>
                      <w:sz w:val="18"/>
                      <w:szCs w:val="18"/>
                    </w:rPr>
                    <w:t>Y</w:t>
                  </w:r>
                </w:p>
              </w:tc>
              <w:tc>
                <w:tcPr>
                  <w:tcW w:w="340" w:type="pct"/>
                  <w:vAlign w:val="center"/>
                </w:tcPr>
                <w:p>
                  <w:pPr>
                    <w:pStyle w:val="67"/>
                    <w:adjustRightInd w:val="0"/>
                    <w:snapToGrid w:val="0"/>
                    <w:rPr>
                      <w:rFonts w:eastAsia="宋体"/>
                      <w:sz w:val="18"/>
                      <w:szCs w:val="18"/>
                    </w:rPr>
                  </w:pPr>
                  <w:r>
                    <w:rPr>
                      <w:rFonts w:eastAsia="宋体"/>
                      <w:sz w:val="18"/>
                      <w:szCs w:val="18"/>
                    </w:rPr>
                    <w:t>Z</w:t>
                  </w:r>
                </w:p>
              </w:tc>
              <w:tc>
                <w:tcPr>
                  <w:tcW w:w="580" w:type="pct"/>
                  <w:vAlign w:val="center"/>
                </w:tcPr>
                <w:p>
                  <w:pPr>
                    <w:pStyle w:val="67"/>
                    <w:adjustRightInd w:val="0"/>
                    <w:snapToGrid w:val="0"/>
                    <w:rPr>
                      <w:rFonts w:eastAsia="宋体"/>
                      <w:sz w:val="18"/>
                      <w:szCs w:val="18"/>
                    </w:rPr>
                  </w:pPr>
                  <w:r>
                    <w:rPr>
                      <w:rFonts w:eastAsia="宋体"/>
                      <w:sz w:val="18"/>
                      <w:szCs w:val="18"/>
                    </w:rPr>
                    <w:t>声压级/dB（A）</w:t>
                  </w:r>
                </w:p>
              </w:tc>
              <w:tc>
                <w:tcPr>
                  <w:tcW w:w="560" w:type="pct"/>
                  <w:vAlign w:val="center"/>
                </w:tcPr>
                <w:p>
                  <w:pPr>
                    <w:pStyle w:val="67"/>
                    <w:adjustRightInd w:val="0"/>
                    <w:snapToGrid w:val="0"/>
                    <w:rPr>
                      <w:rFonts w:eastAsia="宋体"/>
                      <w:sz w:val="18"/>
                      <w:szCs w:val="18"/>
                    </w:rPr>
                  </w:pPr>
                  <w:r>
                    <w:rPr>
                      <w:rFonts w:eastAsia="宋体"/>
                      <w:sz w:val="18"/>
                      <w:szCs w:val="18"/>
                    </w:rPr>
                    <w:t>距声源距离/m</w:t>
                  </w:r>
                </w:p>
              </w:tc>
              <w:tc>
                <w:tcPr>
                  <w:tcW w:w="848" w:type="pct"/>
                  <w:vMerge w:val="continue"/>
                  <w:vAlign w:val="center"/>
                </w:tcPr>
                <w:p>
                  <w:pPr>
                    <w:pStyle w:val="67"/>
                    <w:adjustRightInd w:val="0"/>
                    <w:snapToGrid w:val="0"/>
                    <w:rPr>
                      <w:rFonts w:eastAsia="宋体"/>
                      <w:sz w:val="18"/>
                      <w:szCs w:val="18"/>
                    </w:rPr>
                  </w:pPr>
                </w:p>
              </w:tc>
              <w:tc>
                <w:tcPr>
                  <w:tcW w:w="835" w:type="pct"/>
                  <w:vMerge w:val="continue"/>
                  <w:vAlign w:val="center"/>
                </w:tcPr>
                <w:p>
                  <w:pPr>
                    <w:pStyle w:val="67"/>
                    <w:adjustRightInd w:val="0"/>
                    <w:snapToGrid w:val="0"/>
                    <w:rPr>
                      <w:rFonts w:eastAsia="宋体"/>
                      <w:sz w:val="18"/>
                      <w:szCs w:val="18"/>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67"/>
                    <w:adjustRightInd w:val="0"/>
                    <w:snapToGrid w:val="0"/>
                    <w:rPr>
                      <w:rFonts w:eastAsia="宋体"/>
                      <w:snapToGrid/>
                      <w:sz w:val="18"/>
                      <w:szCs w:val="18"/>
                    </w:rPr>
                  </w:pPr>
                  <w:r>
                    <w:rPr>
                      <w:rFonts w:eastAsia="宋体"/>
                      <w:snapToGrid/>
                      <w:sz w:val="18"/>
                      <w:szCs w:val="18"/>
                    </w:rPr>
                    <w:t>1</w:t>
                  </w:r>
                </w:p>
              </w:tc>
              <w:tc>
                <w:tcPr>
                  <w:tcW w:w="880" w:type="pct"/>
                  <w:vAlign w:val="center"/>
                </w:tcPr>
                <w:p>
                  <w:pPr>
                    <w:pStyle w:val="67"/>
                    <w:adjustRightInd w:val="0"/>
                    <w:snapToGrid w:val="0"/>
                    <w:rPr>
                      <w:rFonts w:eastAsia="宋体"/>
                      <w:snapToGrid/>
                      <w:sz w:val="18"/>
                      <w:szCs w:val="18"/>
                    </w:rPr>
                  </w:pPr>
                  <w:r>
                    <w:rPr>
                      <w:rFonts w:eastAsia="宋体"/>
                      <w:snapToGrid/>
                      <w:sz w:val="18"/>
                      <w:szCs w:val="18"/>
                    </w:rPr>
                    <w:t>混凝土振捣器</w:t>
                  </w:r>
                </w:p>
              </w:tc>
              <w:tc>
                <w:tcPr>
                  <w:tcW w:w="317"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28"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40" w:type="pct"/>
                  <w:vAlign w:val="center"/>
                </w:tcPr>
                <w:p>
                  <w:pPr>
                    <w:pStyle w:val="67"/>
                    <w:adjustRightInd w:val="0"/>
                    <w:snapToGrid w:val="0"/>
                    <w:rPr>
                      <w:rFonts w:eastAsia="宋体"/>
                      <w:snapToGrid/>
                      <w:sz w:val="18"/>
                      <w:szCs w:val="18"/>
                    </w:rPr>
                  </w:pPr>
                  <w:r>
                    <w:rPr>
                      <w:rFonts w:eastAsia="宋体"/>
                      <w:snapToGrid/>
                      <w:sz w:val="18"/>
                      <w:szCs w:val="18"/>
                    </w:rPr>
                    <w:t>1</w:t>
                  </w:r>
                </w:p>
              </w:tc>
              <w:tc>
                <w:tcPr>
                  <w:tcW w:w="580" w:type="pct"/>
                  <w:vAlign w:val="center"/>
                </w:tcPr>
                <w:p>
                  <w:pPr>
                    <w:pStyle w:val="67"/>
                    <w:adjustRightInd w:val="0"/>
                    <w:snapToGrid w:val="0"/>
                    <w:rPr>
                      <w:rFonts w:eastAsia="宋体"/>
                      <w:snapToGrid/>
                      <w:sz w:val="18"/>
                      <w:szCs w:val="18"/>
                    </w:rPr>
                  </w:pPr>
                  <w:r>
                    <w:rPr>
                      <w:rFonts w:eastAsia="宋体"/>
                      <w:snapToGrid/>
                      <w:sz w:val="18"/>
                      <w:szCs w:val="18"/>
                    </w:rPr>
                    <w:t>88</w:t>
                  </w:r>
                </w:p>
              </w:tc>
              <w:tc>
                <w:tcPr>
                  <w:tcW w:w="560" w:type="pct"/>
                  <w:vAlign w:val="center"/>
                </w:tcPr>
                <w:p>
                  <w:pPr>
                    <w:pStyle w:val="67"/>
                    <w:adjustRightInd w:val="0"/>
                    <w:snapToGrid w:val="0"/>
                    <w:rPr>
                      <w:rFonts w:eastAsia="宋体"/>
                      <w:snapToGrid/>
                      <w:sz w:val="18"/>
                      <w:szCs w:val="18"/>
                    </w:rPr>
                  </w:pPr>
                  <w:r>
                    <w:rPr>
                      <w:rFonts w:eastAsia="宋体"/>
                      <w:snapToGrid/>
                      <w:sz w:val="18"/>
                      <w:szCs w:val="18"/>
                    </w:rPr>
                    <w:t>5</w:t>
                  </w:r>
                </w:p>
              </w:tc>
              <w:tc>
                <w:tcPr>
                  <w:tcW w:w="848" w:type="pct"/>
                  <w:vAlign w:val="center"/>
                </w:tcPr>
                <w:p>
                  <w:pPr>
                    <w:pStyle w:val="67"/>
                    <w:adjustRightInd w:val="0"/>
                    <w:snapToGrid w:val="0"/>
                    <w:rPr>
                      <w:rFonts w:eastAsia="宋体"/>
                      <w:snapToGrid/>
                      <w:sz w:val="18"/>
                      <w:szCs w:val="18"/>
                    </w:rPr>
                  </w:pPr>
                  <w:r>
                    <w:rPr>
                      <w:rFonts w:eastAsia="宋体"/>
                      <w:snapToGrid/>
                      <w:sz w:val="18"/>
                      <w:szCs w:val="18"/>
                    </w:rPr>
                    <w:t>禁止夜间施工</w:t>
                  </w:r>
                </w:p>
              </w:tc>
              <w:tc>
                <w:tcPr>
                  <w:tcW w:w="835" w:type="pct"/>
                  <w:vAlign w:val="center"/>
                </w:tcPr>
                <w:p>
                  <w:pPr>
                    <w:pStyle w:val="67"/>
                    <w:adjustRightInd w:val="0"/>
                    <w:snapToGrid w:val="0"/>
                    <w:rPr>
                      <w:rFonts w:eastAsia="宋体"/>
                      <w:snapToGrid/>
                      <w:sz w:val="18"/>
                      <w:szCs w:val="18"/>
                    </w:rPr>
                  </w:pPr>
                  <w:r>
                    <w:rPr>
                      <w:rFonts w:eastAsia="宋体"/>
                      <w:snapToGrid/>
                      <w:sz w:val="18"/>
                      <w:szCs w:val="18"/>
                    </w:rPr>
                    <w:t>基础结构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67"/>
                    <w:adjustRightInd w:val="0"/>
                    <w:snapToGrid w:val="0"/>
                    <w:rPr>
                      <w:rFonts w:eastAsia="宋体"/>
                      <w:snapToGrid/>
                      <w:sz w:val="18"/>
                      <w:szCs w:val="18"/>
                    </w:rPr>
                  </w:pPr>
                  <w:r>
                    <w:rPr>
                      <w:rFonts w:eastAsia="宋体"/>
                      <w:snapToGrid/>
                      <w:sz w:val="18"/>
                      <w:szCs w:val="18"/>
                    </w:rPr>
                    <w:t>2</w:t>
                  </w:r>
                </w:p>
              </w:tc>
              <w:tc>
                <w:tcPr>
                  <w:tcW w:w="880" w:type="pct"/>
                  <w:vAlign w:val="center"/>
                </w:tcPr>
                <w:p>
                  <w:pPr>
                    <w:pStyle w:val="67"/>
                    <w:adjustRightInd w:val="0"/>
                    <w:snapToGrid w:val="0"/>
                    <w:rPr>
                      <w:rFonts w:eastAsia="宋体"/>
                      <w:snapToGrid/>
                      <w:sz w:val="18"/>
                      <w:szCs w:val="18"/>
                    </w:rPr>
                  </w:pPr>
                  <w:r>
                    <w:rPr>
                      <w:rFonts w:eastAsia="宋体"/>
                      <w:snapToGrid/>
                      <w:sz w:val="18"/>
                      <w:szCs w:val="18"/>
                    </w:rPr>
                    <w:t>风镐、空压机</w:t>
                  </w:r>
                </w:p>
              </w:tc>
              <w:tc>
                <w:tcPr>
                  <w:tcW w:w="317"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28"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40" w:type="pct"/>
                  <w:vAlign w:val="center"/>
                </w:tcPr>
                <w:p>
                  <w:pPr>
                    <w:pStyle w:val="67"/>
                    <w:adjustRightInd w:val="0"/>
                    <w:snapToGrid w:val="0"/>
                    <w:rPr>
                      <w:rFonts w:eastAsia="宋体"/>
                      <w:snapToGrid/>
                      <w:sz w:val="18"/>
                      <w:szCs w:val="18"/>
                    </w:rPr>
                  </w:pPr>
                  <w:r>
                    <w:rPr>
                      <w:rFonts w:eastAsia="宋体"/>
                      <w:snapToGrid/>
                      <w:sz w:val="18"/>
                      <w:szCs w:val="18"/>
                    </w:rPr>
                    <w:t>1</w:t>
                  </w:r>
                </w:p>
              </w:tc>
              <w:tc>
                <w:tcPr>
                  <w:tcW w:w="580" w:type="pct"/>
                  <w:vAlign w:val="center"/>
                </w:tcPr>
                <w:p>
                  <w:pPr>
                    <w:pStyle w:val="67"/>
                    <w:adjustRightInd w:val="0"/>
                    <w:snapToGrid w:val="0"/>
                    <w:rPr>
                      <w:rFonts w:eastAsia="宋体"/>
                      <w:snapToGrid/>
                      <w:sz w:val="18"/>
                      <w:szCs w:val="18"/>
                    </w:rPr>
                  </w:pPr>
                  <w:r>
                    <w:rPr>
                      <w:rFonts w:eastAsia="宋体"/>
                      <w:snapToGrid/>
                      <w:sz w:val="18"/>
                      <w:szCs w:val="18"/>
                    </w:rPr>
                    <w:t>92</w:t>
                  </w:r>
                </w:p>
              </w:tc>
              <w:tc>
                <w:tcPr>
                  <w:tcW w:w="560" w:type="pct"/>
                  <w:vAlign w:val="center"/>
                </w:tcPr>
                <w:p>
                  <w:pPr>
                    <w:pStyle w:val="67"/>
                    <w:adjustRightInd w:val="0"/>
                    <w:snapToGrid w:val="0"/>
                    <w:rPr>
                      <w:rFonts w:eastAsia="宋体"/>
                      <w:snapToGrid/>
                      <w:sz w:val="18"/>
                      <w:szCs w:val="18"/>
                    </w:rPr>
                  </w:pPr>
                  <w:r>
                    <w:rPr>
                      <w:rFonts w:eastAsia="宋体"/>
                      <w:snapToGrid/>
                      <w:sz w:val="18"/>
                      <w:szCs w:val="18"/>
                    </w:rPr>
                    <w:t>5</w:t>
                  </w:r>
                </w:p>
              </w:tc>
              <w:tc>
                <w:tcPr>
                  <w:tcW w:w="848" w:type="pct"/>
                  <w:vAlign w:val="center"/>
                </w:tcPr>
                <w:p>
                  <w:pPr>
                    <w:pStyle w:val="67"/>
                    <w:adjustRightInd w:val="0"/>
                    <w:snapToGrid w:val="0"/>
                    <w:rPr>
                      <w:rFonts w:eastAsia="宋体"/>
                      <w:snapToGrid/>
                      <w:sz w:val="18"/>
                      <w:szCs w:val="18"/>
                    </w:rPr>
                  </w:pPr>
                  <w:r>
                    <w:rPr>
                      <w:rFonts w:eastAsia="宋体"/>
                      <w:snapToGrid/>
                      <w:sz w:val="18"/>
                      <w:szCs w:val="18"/>
                    </w:rPr>
                    <w:t>禁止夜间施工</w:t>
                  </w:r>
                </w:p>
              </w:tc>
              <w:tc>
                <w:tcPr>
                  <w:tcW w:w="835" w:type="pct"/>
                  <w:vAlign w:val="center"/>
                </w:tcPr>
                <w:p>
                  <w:pPr>
                    <w:pStyle w:val="67"/>
                    <w:adjustRightInd w:val="0"/>
                    <w:snapToGrid w:val="0"/>
                    <w:rPr>
                      <w:rFonts w:eastAsia="宋体"/>
                      <w:snapToGrid/>
                      <w:sz w:val="18"/>
                      <w:szCs w:val="18"/>
                    </w:rPr>
                  </w:pPr>
                  <w:r>
                    <w:rPr>
                      <w:rFonts w:eastAsia="宋体"/>
                      <w:snapToGrid/>
                      <w:sz w:val="18"/>
                      <w:szCs w:val="18"/>
                    </w:rPr>
                    <w:t>基础结构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67"/>
                    <w:adjustRightInd w:val="0"/>
                    <w:snapToGrid w:val="0"/>
                    <w:rPr>
                      <w:rFonts w:eastAsia="宋体"/>
                      <w:snapToGrid/>
                      <w:sz w:val="18"/>
                      <w:szCs w:val="18"/>
                    </w:rPr>
                  </w:pPr>
                  <w:r>
                    <w:rPr>
                      <w:rFonts w:eastAsia="宋体"/>
                      <w:snapToGrid/>
                      <w:sz w:val="18"/>
                      <w:szCs w:val="18"/>
                    </w:rPr>
                    <w:t>3</w:t>
                  </w:r>
                </w:p>
              </w:tc>
              <w:tc>
                <w:tcPr>
                  <w:tcW w:w="880" w:type="pct"/>
                  <w:vAlign w:val="center"/>
                </w:tcPr>
                <w:p>
                  <w:pPr>
                    <w:pStyle w:val="67"/>
                    <w:adjustRightInd w:val="0"/>
                    <w:snapToGrid w:val="0"/>
                    <w:rPr>
                      <w:rFonts w:eastAsia="宋体"/>
                      <w:snapToGrid/>
                      <w:sz w:val="18"/>
                      <w:szCs w:val="18"/>
                    </w:rPr>
                  </w:pPr>
                  <w:r>
                    <w:rPr>
                      <w:rFonts w:eastAsia="宋体"/>
                      <w:snapToGrid/>
                      <w:sz w:val="18"/>
                      <w:szCs w:val="18"/>
                    </w:rPr>
                    <w:t>卷场机、张力机、牵引机</w:t>
                  </w:r>
                </w:p>
              </w:tc>
              <w:tc>
                <w:tcPr>
                  <w:tcW w:w="317"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28"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40" w:type="pct"/>
                  <w:vAlign w:val="center"/>
                </w:tcPr>
                <w:p>
                  <w:pPr>
                    <w:pStyle w:val="67"/>
                    <w:adjustRightInd w:val="0"/>
                    <w:snapToGrid w:val="0"/>
                    <w:rPr>
                      <w:rFonts w:eastAsia="宋体"/>
                      <w:snapToGrid/>
                      <w:sz w:val="18"/>
                      <w:szCs w:val="18"/>
                    </w:rPr>
                  </w:pPr>
                  <w:r>
                    <w:rPr>
                      <w:rFonts w:eastAsia="宋体"/>
                      <w:snapToGrid/>
                      <w:sz w:val="18"/>
                      <w:szCs w:val="18"/>
                    </w:rPr>
                    <w:t>1</w:t>
                  </w:r>
                </w:p>
              </w:tc>
              <w:tc>
                <w:tcPr>
                  <w:tcW w:w="580" w:type="pct"/>
                  <w:vAlign w:val="center"/>
                </w:tcPr>
                <w:p>
                  <w:pPr>
                    <w:pStyle w:val="67"/>
                    <w:adjustRightInd w:val="0"/>
                    <w:snapToGrid w:val="0"/>
                    <w:rPr>
                      <w:rFonts w:eastAsia="宋体"/>
                      <w:snapToGrid/>
                      <w:sz w:val="18"/>
                      <w:szCs w:val="18"/>
                    </w:rPr>
                  </w:pPr>
                  <w:r>
                    <w:rPr>
                      <w:rFonts w:eastAsia="宋体"/>
                      <w:snapToGrid/>
                      <w:sz w:val="18"/>
                      <w:szCs w:val="18"/>
                    </w:rPr>
                    <w:t>84</w:t>
                  </w:r>
                </w:p>
              </w:tc>
              <w:tc>
                <w:tcPr>
                  <w:tcW w:w="560" w:type="pct"/>
                  <w:vAlign w:val="center"/>
                </w:tcPr>
                <w:p>
                  <w:pPr>
                    <w:pStyle w:val="67"/>
                    <w:adjustRightInd w:val="0"/>
                    <w:snapToGrid w:val="0"/>
                    <w:rPr>
                      <w:rFonts w:eastAsia="宋体"/>
                      <w:snapToGrid/>
                      <w:sz w:val="18"/>
                      <w:szCs w:val="18"/>
                    </w:rPr>
                  </w:pPr>
                  <w:r>
                    <w:rPr>
                      <w:rFonts w:eastAsia="宋体"/>
                      <w:snapToGrid/>
                      <w:sz w:val="18"/>
                      <w:szCs w:val="18"/>
                    </w:rPr>
                    <w:t>5</w:t>
                  </w:r>
                </w:p>
              </w:tc>
              <w:tc>
                <w:tcPr>
                  <w:tcW w:w="848" w:type="pct"/>
                  <w:vAlign w:val="center"/>
                </w:tcPr>
                <w:p>
                  <w:pPr>
                    <w:pStyle w:val="67"/>
                    <w:adjustRightInd w:val="0"/>
                    <w:snapToGrid w:val="0"/>
                    <w:rPr>
                      <w:rFonts w:eastAsia="宋体"/>
                      <w:snapToGrid/>
                      <w:sz w:val="18"/>
                      <w:szCs w:val="18"/>
                    </w:rPr>
                  </w:pPr>
                  <w:r>
                    <w:rPr>
                      <w:rFonts w:eastAsia="宋体"/>
                      <w:snapToGrid/>
                      <w:sz w:val="18"/>
                      <w:szCs w:val="18"/>
                    </w:rPr>
                    <w:t>禁止夜间施工</w:t>
                  </w:r>
                </w:p>
              </w:tc>
              <w:tc>
                <w:tcPr>
                  <w:tcW w:w="835" w:type="pct"/>
                  <w:vAlign w:val="center"/>
                </w:tcPr>
                <w:p>
                  <w:pPr>
                    <w:pStyle w:val="67"/>
                    <w:adjustRightInd w:val="0"/>
                    <w:snapToGrid w:val="0"/>
                    <w:rPr>
                      <w:rFonts w:eastAsia="宋体"/>
                      <w:snapToGrid/>
                      <w:sz w:val="18"/>
                      <w:szCs w:val="18"/>
                    </w:rPr>
                  </w:pPr>
                  <w:r>
                    <w:rPr>
                      <w:rFonts w:eastAsia="宋体"/>
                      <w:snapToGrid/>
                      <w:sz w:val="18"/>
                      <w:szCs w:val="18"/>
                    </w:rPr>
                    <w:t>杆塔组立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67"/>
                    <w:adjustRightInd w:val="0"/>
                    <w:snapToGrid w:val="0"/>
                    <w:rPr>
                      <w:rFonts w:eastAsia="宋体"/>
                      <w:snapToGrid/>
                      <w:sz w:val="18"/>
                      <w:szCs w:val="18"/>
                    </w:rPr>
                  </w:pPr>
                  <w:r>
                    <w:rPr>
                      <w:rFonts w:eastAsia="宋体"/>
                      <w:snapToGrid/>
                      <w:sz w:val="18"/>
                      <w:szCs w:val="18"/>
                    </w:rPr>
                    <w:t>4</w:t>
                  </w:r>
                </w:p>
              </w:tc>
              <w:tc>
                <w:tcPr>
                  <w:tcW w:w="880" w:type="pct"/>
                  <w:vAlign w:val="center"/>
                </w:tcPr>
                <w:p>
                  <w:pPr>
                    <w:pStyle w:val="67"/>
                    <w:adjustRightInd w:val="0"/>
                    <w:snapToGrid w:val="0"/>
                    <w:rPr>
                      <w:rFonts w:eastAsia="宋体"/>
                      <w:snapToGrid/>
                      <w:sz w:val="18"/>
                      <w:szCs w:val="18"/>
                    </w:rPr>
                  </w:pPr>
                  <w:r>
                    <w:rPr>
                      <w:rFonts w:eastAsia="宋体"/>
                      <w:snapToGrid/>
                      <w:sz w:val="18"/>
                      <w:szCs w:val="18"/>
                    </w:rPr>
                    <w:t>起重机</w:t>
                  </w:r>
                </w:p>
              </w:tc>
              <w:tc>
                <w:tcPr>
                  <w:tcW w:w="317"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28"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40" w:type="pct"/>
                  <w:vAlign w:val="center"/>
                </w:tcPr>
                <w:p>
                  <w:pPr>
                    <w:pStyle w:val="67"/>
                    <w:adjustRightInd w:val="0"/>
                    <w:snapToGrid w:val="0"/>
                    <w:rPr>
                      <w:rFonts w:eastAsia="宋体"/>
                      <w:snapToGrid/>
                      <w:sz w:val="18"/>
                      <w:szCs w:val="18"/>
                    </w:rPr>
                  </w:pPr>
                  <w:r>
                    <w:rPr>
                      <w:rFonts w:eastAsia="宋体"/>
                      <w:snapToGrid/>
                      <w:sz w:val="18"/>
                      <w:szCs w:val="18"/>
                    </w:rPr>
                    <w:t>1</w:t>
                  </w:r>
                </w:p>
              </w:tc>
              <w:tc>
                <w:tcPr>
                  <w:tcW w:w="580" w:type="pct"/>
                  <w:vAlign w:val="center"/>
                </w:tcPr>
                <w:p>
                  <w:pPr>
                    <w:pStyle w:val="67"/>
                    <w:adjustRightInd w:val="0"/>
                    <w:snapToGrid w:val="0"/>
                    <w:rPr>
                      <w:rFonts w:eastAsia="宋体"/>
                      <w:snapToGrid/>
                      <w:sz w:val="18"/>
                      <w:szCs w:val="18"/>
                    </w:rPr>
                  </w:pPr>
                  <w:r>
                    <w:rPr>
                      <w:rFonts w:eastAsia="宋体"/>
                      <w:snapToGrid/>
                      <w:sz w:val="18"/>
                      <w:szCs w:val="18"/>
                    </w:rPr>
                    <w:t>102</w:t>
                  </w:r>
                </w:p>
              </w:tc>
              <w:tc>
                <w:tcPr>
                  <w:tcW w:w="560" w:type="pct"/>
                  <w:vAlign w:val="center"/>
                </w:tcPr>
                <w:p>
                  <w:pPr>
                    <w:pStyle w:val="67"/>
                    <w:adjustRightInd w:val="0"/>
                    <w:snapToGrid w:val="0"/>
                    <w:rPr>
                      <w:rFonts w:eastAsia="宋体"/>
                      <w:snapToGrid/>
                      <w:sz w:val="18"/>
                      <w:szCs w:val="18"/>
                    </w:rPr>
                  </w:pPr>
                  <w:r>
                    <w:rPr>
                      <w:rFonts w:eastAsia="宋体"/>
                      <w:snapToGrid/>
                      <w:sz w:val="18"/>
                      <w:szCs w:val="18"/>
                    </w:rPr>
                    <w:t>5</w:t>
                  </w:r>
                </w:p>
              </w:tc>
              <w:tc>
                <w:tcPr>
                  <w:tcW w:w="848" w:type="pct"/>
                  <w:vAlign w:val="center"/>
                </w:tcPr>
                <w:p>
                  <w:pPr>
                    <w:pStyle w:val="67"/>
                    <w:adjustRightInd w:val="0"/>
                    <w:snapToGrid w:val="0"/>
                    <w:rPr>
                      <w:rFonts w:eastAsia="宋体"/>
                      <w:snapToGrid/>
                      <w:sz w:val="18"/>
                      <w:szCs w:val="18"/>
                    </w:rPr>
                  </w:pPr>
                  <w:r>
                    <w:rPr>
                      <w:rFonts w:eastAsia="宋体"/>
                      <w:snapToGrid/>
                      <w:sz w:val="18"/>
                      <w:szCs w:val="18"/>
                    </w:rPr>
                    <w:t>禁止夜间施工</w:t>
                  </w:r>
                </w:p>
              </w:tc>
              <w:tc>
                <w:tcPr>
                  <w:tcW w:w="835" w:type="pct"/>
                  <w:vAlign w:val="center"/>
                </w:tcPr>
                <w:p>
                  <w:pPr>
                    <w:pStyle w:val="67"/>
                    <w:adjustRightInd w:val="0"/>
                    <w:snapToGrid w:val="0"/>
                    <w:rPr>
                      <w:rFonts w:eastAsia="宋体"/>
                      <w:snapToGrid/>
                      <w:sz w:val="18"/>
                      <w:szCs w:val="18"/>
                    </w:rPr>
                  </w:pPr>
                  <w:r>
                    <w:rPr>
                      <w:rFonts w:eastAsia="宋体"/>
                      <w:snapToGrid/>
                      <w:sz w:val="18"/>
                      <w:szCs w:val="18"/>
                    </w:rPr>
                    <w:t>杆塔组立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pPr>
                    <w:pStyle w:val="67"/>
                    <w:adjustRightInd w:val="0"/>
                    <w:snapToGrid w:val="0"/>
                    <w:rPr>
                      <w:rFonts w:eastAsia="宋体"/>
                      <w:snapToGrid/>
                      <w:sz w:val="18"/>
                      <w:szCs w:val="18"/>
                    </w:rPr>
                  </w:pPr>
                  <w:r>
                    <w:rPr>
                      <w:rFonts w:eastAsia="宋体"/>
                      <w:snapToGrid/>
                      <w:sz w:val="18"/>
                      <w:szCs w:val="18"/>
                    </w:rPr>
                    <w:t>5</w:t>
                  </w:r>
                </w:p>
              </w:tc>
              <w:tc>
                <w:tcPr>
                  <w:tcW w:w="880" w:type="pct"/>
                  <w:vAlign w:val="center"/>
                </w:tcPr>
                <w:p>
                  <w:pPr>
                    <w:pStyle w:val="67"/>
                    <w:adjustRightInd w:val="0"/>
                    <w:snapToGrid w:val="0"/>
                    <w:rPr>
                      <w:rFonts w:eastAsia="宋体"/>
                      <w:snapToGrid/>
                      <w:sz w:val="18"/>
                      <w:szCs w:val="18"/>
                    </w:rPr>
                  </w:pPr>
                  <w:r>
                    <w:rPr>
                      <w:rFonts w:eastAsia="宋体"/>
                      <w:snapToGrid/>
                      <w:sz w:val="18"/>
                      <w:szCs w:val="18"/>
                    </w:rPr>
                    <w:t>重型运输车</w:t>
                  </w:r>
                </w:p>
              </w:tc>
              <w:tc>
                <w:tcPr>
                  <w:tcW w:w="317"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28" w:type="pct"/>
                  <w:vAlign w:val="center"/>
                </w:tcPr>
                <w:p>
                  <w:pPr>
                    <w:pStyle w:val="67"/>
                    <w:adjustRightInd w:val="0"/>
                    <w:snapToGrid w:val="0"/>
                    <w:rPr>
                      <w:rFonts w:eastAsia="宋体"/>
                      <w:snapToGrid/>
                      <w:sz w:val="18"/>
                      <w:szCs w:val="18"/>
                    </w:rPr>
                  </w:pPr>
                  <w:r>
                    <w:rPr>
                      <w:rFonts w:eastAsia="宋体"/>
                      <w:snapToGrid/>
                      <w:sz w:val="18"/>
                      <w:szCs w:val="18"/>
                    </w:rPr>
                    <w:t>0</w:t>
                  </w:r>
                </w:p>
              </w:tc>
              <w:tc>
                <w:tcPr>
                  <w:tcW w:w="340" w:type="pct"/>
                  <w:vAlign w:val="center"/>
                </w:tcPr>
                <w:p>
                  <w:pPr>
                    <w:pStyle w:val="67"/>
                    <w:adjustRightInd w:val="0"/>
                    <w:snapToGrid w:val="0"/>
                    <w:rPr>
                      <w:rFonts w:eastAsia="宋体"/>
                      <w:snapToGrid/>
                      <w:sz w:val="18"/>
                      <w:szCs w:val="18"/>
                    </w:rPr>
                  </w:pPr>
                  <w:r>
                    <w:rPr>
                      <w:rFonts w:eastAsia="宋体"/>
                      <w:snapToGrid/>
                      <w:sz w:val="18"/>
                      <w:szCs w:val="18"/>
                    </w:rPr>
                    <w:t>1</w:t>
                  </w:r>
                </w:p>
              </w:tc>
              <w:tc>
                <w:tcPr>
                  <w:tcW w:w="580" w:type="pct"/>
                  <w:vAlign w:val="center"/>
                </w:tcPr>
                <w:p>
                  <w:pPr>
                    <w:pStyle w:val="67"/>
                    <w:adjustRightInd w:val="0"/>
                    <w:snapToGrid w:val="0"/>
                    <w:rPr>
                      <w:rFonts w:eastAsia="宋体"/>
                      <w:snapToGrid/>
                      <w:sz w:val="18"/>
                      <w:szCs w:val="18"/>
                    </w:rPr>
                  </w:pPr>
                  <w:r>
                    <w:rPr>
                      <w:rFonts w:eastAsia="宋体"/>
                      <w:snapToGrid/>
                      <w:sz w:val="18"/>
                      <w:szCs w:val="18"/>
                    </w:rPr>
                    <w:t>90</w:t>
                  </w:r>
                </w:p>
              </w:tc>
              <w:tc>
                <w:tcPr>
                  <w:tcW w:w="560" w:type="pct"/>
                  <w:vAlign w:val="center"/>
                </w:tcPr>
                <w:p>
                  <w:pPr>
                    <w:pStyle w:val="67"/>
                    <w:adjustRightInd w:val="0"/>
                    <w:snapToGrid w:val="0"/>
                    <w:rPr>
                      <w:rFonts w:eastAsia="宋体"/>
                      <w:snapToGrid/>
                      <w:sz w:val="18"/>
                      <w:szCs w:val="18"/>
                    </w:rPr>
                  </w:pPr>
                  <w:r>
                    <w:rPr>
                      <w:rFonts w:eastAsia="宋体"/>
                      <w:snapToGrid/>
                      <w:sz w:val="18"/>
                      <w:szCs w:val="18"/>
                    </w:rPr>
                    <w:t>5</w:t>
                  </w:r>
                </w:p>
              </w:tc>
              <w:tc>
                <w:tcPr>
                  <w:tcW w:w="848" w:type="pct"/>
                  <w:vAlign w:val="center"/>
                </w:tcPr>
                <w:p>
                  <w:pPr>
                    <w:pStyle w:val="67"/>
                    <w:adjustRightInd w:val="0"/>
                    <w:snapToGrid w:val="0"/>
                    <w:rPr>
                      <w:rFonts w:eastAsia="宋体"/>
                      <w:snapToGrid/>
                      <w:sz w:val="18"/>
                      <w:szCs w:val="18"/>
                    </w:rPr>
                  </w:pPr>
                  <w:r>
                    <w:rPr>
                      <w:rFonts w:eastAsia="宋体"/>
                      <w:snapToGrid/>
                      <w:sz w:val="18"/>
                      <w:szCs w:val="18"/>
                    </w:rPr>
                    <w:t>禁止夜间施工禁鸣、限速</w:t>
                  </w:r>
                </w:p>
              </w:tc>
              <w:tc>
                <w:tcPr>
                  <w:tcW w:w="835" w:type="pct"/>
                  <w:vAlign w:val="center"/>
                </w:tcPr>
                <w:p>
                  <w:pPr>
                    <w:pStyle w:val="67"/>
                    <w:adjustRightInd w:val="0"/>
                    <w:snapToGrid w:val="0"/>
                    <w:rPr>
                      <w:rFonts w:eastAsia="宋体"/>
                      <w:snapToGrid/>
                      <w:sz w:val="18"/>
                      <w:szCs w:val="18"/>
                    </w:rPr>
                  </w:pPr>
                  <w:r>
                    <w:rPr>
                      <w:rFonts w:eastAsia="宋体"/>
                      <w:snapToGrid/>
                      <w:sz w:val="18"/>
                      <w:szCs w:val="18"/>
                    </w:rPr>
                    <w:t>杆塔组立</w:t>
                  </w:r>
                </w:p>
              </w:tc>
            </w:tr>
          </w:tbl>
          <w:p>
            <w:pPr>
              <w:pStyle w:val="67"/>
              <w:jc w:val="left"/>
              <w:rPr>
                <w:snapToGrid/>
                <w:sz w:val="18"/>
                <w:szCs w:val="18"/>
              </w:rPr>
            </w:pPr>
            <w:r>
              <w:rPr>
                <w:rFonts w:hint="eastAsia"/>
                <w:snapToGrid/>
                <w:sz w:val="18"/>
                <w:szCs w:val="18"/>
              </w:rPr>
              <w:t>注：施工噪声预测以上施工设备所在位置为原点，通过几何发散和地面吸收衰减计算出达标距离。</w:t>
            </w:r>
          </w:p>
          <w:p>
            <w:pPr>
              <w:pStyle w:val="67"/>
              <w:rPr>
                <w:snapToGrid/>
                <w:sz w:val="18"/>
                <w:szCs w:val="18"/>
              </w:rPr>
            </w:pPr>
          </w:p>
          <w:p>
            <w:pPr>
              <w:pStyle w:val="67"/>
              <w:rPr>
                <w:snapToGrid/>
                <w:sz w:val="18"/>
                <w:szCs w:val="18"/>
              </w:rPr>
            </w:pPr>
            <w:r>
              <w:rPr>
                <w:rFonts w:hint="eastAsia"/>
                <w:snapToGrid/>
                <w:sz w:val="18"/>
                <w:szCs w:val="18"/>
              </w:rPr>
              <w:t>各单台机械设备噪声随距离衰减情况一览表</w:t>
            </w:r>
          </w:p>
          <w:p>
            <w:pPr>
              <w:pStyle w:val="68"/>
              <w:ind w:firstLine="180" w:firstLineChars="100"/>
              <w:jc w:val="both"/>
              <w:rPr>
                <w:rFonts w:eastAsia="黑体"/>
                <w:sz w:val="18"/>
                <w:szCs w:val="18"/>
              </w:rPr>
            </w:pPr>
            <w:r>
              <w:rPr>
                <w:rFonts w:hint="eastAsia" w:eastAsia="黑体"/>
                <w:sz w:val="18"/>
                <w:szCs w:val="18"/>
              </w:rPr>
              <w:t>表4.3-2                                                                      （单位：m）</w:t>
            </w:r>
          </w:p>
          <w:tbl>
            <w:tblPr>
              <w:tblStyle w:val="25"/>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1542"/>
              <w:gridCol w:w="759"/>
              <w:gridCol w:w="759"/>
              <w:gridCol w:w="758"/>
              <w:gridCol w:w="758"/>
              <w:gridCol w:w="758"/>
              <w:gridCol w:w="758"/>
              <w:gridCol w:w="760"/>
              <w:gridCol w:w="77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12" w:type="pct"/>
                  <w:vMerge w:val="restart"/>
                  <w:vAlign w:val="center"/>
                </w:tcPr>
                <w:p>
                  <w:pPr>
                    <w:pStyle w:val="8"/>
                    <w:rPr>
                      <w:rFonts w:ascii="Times New Roman" w:hAnsi="Times New Roman" w:cs="Times New Roman"/>
                      <w:sz w:val="18"/>
                      <w:szCs w:val="18"/>
                    </w:rPr>
                  </w:pPr>
                  <w:r>
                    <w:rPr>
                      <w:rFonts w:ascii="Times New Roman" w:hAnsi="Times New Roman" w:cs="Times New Roman"/>
                      <w:sz w:val="18"/>
                      <w:szCs w:val="18"/>
                    </w:rPr>
                    <w:t>施工阶段</w:t>
                  </w:r>
                </w:p>
              </w:tc>
              <w:tc>
                <w:tcPr>
                  <w:tcW w:w="886" w:type="pct"/>
                  <w:vMerge w:val="restart"/>
                  <w:vAlign w:val="center"/>
                </w:tcPr>
                <w:p>
                  <w:pPr>
                    <w:pStyle w:val="8"/>
                    <w:rPr>
                      <w:rFonts w:ascii="Times New Roman" w:hAnsi="Times New Roman" w:cs="Times New Roman"/>
                      <w:sz w:val="18"/>
                      <w:szCs w:val="18"/>
                    </w:rPr>
                  </w:pPr>
                  <w:r>
                    <w:rPr>
                      <w:rFonts w:ascii="Times New Roman" w:hAnsi="Times New Roman" w:cs="Times New Roman"/>
                      <w:sz w:val="18"/>
                      <w:szCs w:val="18"/>
                    </w:rPr>
                    <w:t>施工设备</w:t>
                  </w:r>
                </w:p>
              </w:tc>
              <w:tc>
                <w:tcPr>
                  <w:tcW w:w="3501" w:type="pct"/>
                  <w:gridSpan w:val="8"/>
                  <w:vAlign w:val="center"/>
                </w:tcPr>
                <w:p>
                  <w:pPr>
                    <w:pStyle w:val="8"/>
                    <w:rPr>
                      <w:rFonts w:ascii="Times New Roman" w:hAnsi="Times New Roman" w:cs="Times New Roman"/>
                      <w:sz w:val="18"/>
                      <w:szCs w:val="18"/>
                    </w:rPr>
                  </w:pPr>
                  <w:r>
                    <w:rPr>
                      <w:rFonts w:ascii="Times New Roman" w:hAnsi="Times New Roman" w:cs="Times New Roman"/>
                      <w:sz w:val="18"/>
                      <w:szCs w:val="18"/>
                    </w:rPr>
                    <w:t>Leq（dB（A））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3" w:hRule="atLeast"/>
                <w:jc w:val="center"/>
              </w:trPr>
              <w:tc>
                <w:tcPr>
                  <w:tcW w:w="612" w:type="pct"/>
                  <w:vMerge w:val="continue"/>
                  <w:vAlign w:val="center"/>
                </w:tcPr>
                <w:p>
                  <w:pPr>
                    <w:adjustRightInd w:val="0"/>
                    <w:snapToGrid w:val="0"/>
                    <w:jc w:val="center"/>
                    <w:rPr>
                      <w:rFonts w:cs="Times New Roman"/>
                      <w:sz w:val="18"/>
                      <w:szCs w:val="18"/>
                    </w:rPr>
                  </w:pPr>
                </w:p>
              </w:tc>
              <w:tc>
                <w:tcPr>
                  <w:tcW w:w="886" w:type="pct"/>
                  <w:vMerge w:val="continue"/>
                  <w:vAlign w:val="center"/>
                </w:tcPr>
                <w:p>
                  <w:pPr>
                    <w:pStyle w:val="8"/>
                    <w:rPr>
                      <w:rFonts w:ascii="Times New Roman" w:hAnsi="Times New Roman" w:cs="Times New Roman"/>
                      <w:sz w:val="18"/>
                      <w:szCs w:val="18"/>
                    </w:rPr>
                  </w:pP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85</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80</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75</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70</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65</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60</w:t>
                  </w:r>
                </w:p>
              </w:tc>
              <w:tc>
                <w:tcPr>
                  <w:tcW w:w="437" w:type="pct"/>
                  <w:vAlign w:val="center"/>
                </w:tcPr>
                <w:p>
                  <w:pPr>
                    <w:pStyle w:val="8"/>
                    <w:rPr>
                      <w:rFonts w:ascii="Times New Roman" w:hAnsi="Times New Roman" w:cs="Times New Roman"/>
                      <w:sz w:val="18"/>
                      <w:szCs w:val="18"/>
                    </w:rPr>
                  </w:pPr>
                  <w:r>
                    <w:rPr>
                      <w:rFonts w:ascii="Times New Roman" w:hAnsi="Times New Roman" w:cs="Times New Roman"/>
                      <w:sz w:val="18"/>
                      <w:szCs w:val="18"/>
                    </w:rPr>
                    <w:t>55</w:t>
                  </w:r>
                </w:p>
              </w:tc>
              <w:tc>
                <w:tcPr>
                  <w:tcW w:w="442" w:type="pct"/>
                  <w:vAlign w:val="center"/>
                </w:tcPr>
                <w:p>
                  <w:pPr>
                    <w:pStyle w:val="8"/>
                    <w:rPr>
                      <w:rFonts w:ascii="Times New Roman" w:hAnsi="Times New Roman" w:cs="Times New Roman"/>
                      <w:sz w:val="18"/>
                      <w:szCs w:val="18"/>
                    </w:rPr>
                  </w:pPr>
                  <w:r>
                    <w:rPr>
                      <w:rFonts w:ascii="Times New Roman" w:hAnsi="Times New Roman" w:cs="Times New Roman"/>
                      <w:sz w:val="18"/>
                      <w:szCs w:val="18"/>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3" w:hRule="atLeast"/>
                <w:jc w:val="center"/>
              </w:trPr>
              <w:tc>
                <w:tcPr>
                  <w:tcW w:w="612" w:type="pct"/>
                  <w:vAlign w:val="center"/>
                </w:tcPr>
                <w:p>
                  <w:pPr>
                    <w:adjustRightInd w:val="0"/>
                    <w:snapToGrid w:val="0"/>
                    <w:jc w:val="center"/>
                    <w:rPr>
                      <w:rFonts w:cs="Times New Roman"/>
                      <w:sz w:val="18"/>
                      <w:szCs w:val="18"/>
                    </w:rPr>
                  </w:pPr>
                  <w:r>
                    <w:rPr>
                      <w:rFonts w:cs="Times New Roman"/>
                      <w:sz w:val="18"/>
                      <w:szCs w:val="18"/>
                    </w:rPr>
                    <w:t>打桩基础</w:t>
                  </w:r>
                </w:p>
              </w:tc>
              <w:tc>
                <w:tcPr>
                  <w:tcW w:w="886" w:type="pct"/>
                  <w:vAlign w:val="center"/>
                </w:tcPr>
                <w:p>
                  <w:pPr>
                    <w:pStyle w:val="67"/>
                    <w:adjustRightInd w:val="0"/>
                    <w:snapToGrid w:val="0"/>
                    <w:rPr>
                      <w:rFonts w:eastAsia="宋体" w:cs="Times New Roman"/>
                      <w:sz w:val="18"/>
                      <w:szCs w:val="18"/>
                    </w:rPr>
                  </w:pPr>
                  <w:r>
                    <w:rPr>
                      <w:rFonts w:eastAsia="宋体" w:cs="Times New Roman"/>
                      <w:snapToGrid/>
                      <w:sz w:val="18"/>
                      <w:szCs w:val="18"/>
                    </w:rPr>
                    <w:t>钻孔式打桩机</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71</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110</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163</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230</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310</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402</w:t>
                  </w:r>
                </w:p>
              </w:tc>
              <w:tc>
                <w:tcPr>
                  <w:tcW w:w="437" w:type="pct"/>
                  <w:vAlign w:val="center"/>
                </w:tcPr>
                <w:p>
                  <w:pPr>
                    <w:pStyle w:val="8"/>
                    <w:rPr>
                      <w:rFonts w:ascii="Times New Roman" w:hAnsi="Times New Roman" w:cs="Times New Roman"/>
                      <w:sz w:val="18"/>
                      <w:szCs w:val="18"/>
                    </w:rPr>
                  </w:pPr>
                  <w:r>
                    <w:rPr>
                      <w:rFonts w:ascii="Times New Roman" w:hAnsi="Times New Roman" w:cs="Times New Roman"/>
                      <w:sz w:val="18"/>
                      <w:szCs w:val="18"/>
                    </w:rPr>
                    <w:t>502</w:t>
                  </w:r>
                </w:p>
              </w:tc>
              <w:tc>
                <w:tcPr>
                  <w:tcW w:w="442" w:type="pct"/>
                  <w:vAlign w:val="center"/>
                </w:tcPr>
                <w:p>
                  <w:pPr>
                    <w:pStyle w:val="8"/>
                    <w:rPr>
                      <w:rFonts w:ascii="Times New Roman" w:hAnsi="Times New Roman" w:cs="Times New Roman"/>
                      <w:sz w:val="18"/>
                      <w:szCs w:val="18"/>
                    </w:rPr>
                  </w:pPr>
                  <w:r>
                    <w:rPr>
                      <w:rFonts w:ascii="Times New Roman" w:hAnsi="Times New Roman" w:cs="Times New Roman"/>
                      <w:sz w:val="18"/>
                      <w:szCs w:val="18"/>
                    </w:rPr>
                    <w:t>613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3" w:hRule="atLeast"/>
                <w:jc w:val="center"/>
              </w:trPr>
              <w:tc>
                <w:tcPr>
                  <w:tcW w:w="612" w:type="pct"/>
                  <w:vMerge w:val="restart"/>
                  <w:vAlign w:val="center"/>
                </w:tcPr>
                <w:p>
                  <w:pPr>
                    <w:adjustRightInd w:val="0"/>
                    <w:snapToGrid w:val="0"/>
                    <w:jc w:val="center"/>
                    <w:rPr>
                      <w:rFonts w:cs="Times New Roman"/>
                      <w:sz w:val="18"/>
                      <w:szCs w:val="18"/>
                    </w:rPr>
                  </w:pPr>
                  <w:r>
                    <w:rPr>
                      <w:rFonts w:cs="Times New Roman"/>
                      <w:sz w:val="18"/>
                      <w:szCs w:val="18"/>
                    </w:rPr>
                    <w:t>基础结构</w:t>
                  </w:r>
                </w:p>
              </w:tc>
              <w:tc>
                <w:tcPr>
                  <w:tcW w:w="886" w:type="pct"/>
                  <w:vAlign w:val="center"/>
                </w:tcPr>
                <w:p>
                  <w:pPr>
                    <w:pStyle w:val="67"/>
                    <w:adjustRightInd w:val="0"/>
                    <w:snapToGrid w:val="0"/>
                    <w:rPr>
                      <w:rFonts w:eastAsia="宋体" w:cs="Times New Roman"/>
                      <w:sz w:val="18"/>
                      <w:szCs w:val="18"/>
                    </w:rPr>
                  </w:pPr>
                  <w:r>
                    <w:rPr>
                      <w:rFonts w:eastAsia="宋体" w:cs="Times New Roman"/>
                      <w:snapToGrid/>
                      <w:sz w:val="18"/>
                      <w:szCs w:val="18"/>
                    </w:rPr>
                    <w:t>混凝土振捣器</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7</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12</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21</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36</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59</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92</w:t>
                  </w:r>
                </w:p>
              </w:tc>
              <w:tc>
                <w:tcPr>
                  <w:tcW w:w="437" w:type="pct"/>
                  <w:vAlign w:val="center"/>
                </w:tcPr>
                <w:p>
                  <w:pPr>
                    <w:pStyle w:val="8"/>
                    <w:rPr>
                      <w:rFonts w:ascii="Times New Roman" w:hAnsi="Times New Roman" w:cs="Times New Roman"/>
                      <w:sz w:val="18"/>
                      <w:szCs w:val="18"/>
                    </w:rPr>
                  </w:pPr>
                  <w:r>
                    <w:rPr>
                      <w:rFonts w:ascii="Times New Roman" w:hAnsi="Times New Roman" w:cs="Times New Roman"/>
                      <w:sz w:val="18"/>
                      <w:szCs w:val="18"/>
                    </w:rPr>
                    <w:t>140</w:t>
                  </w:r>
                </w:p>
              </w:tc>
              <w:tc>
                <w:tcPr>
                  <w:tcW w:w="442" w:type="pct"/>
                  <w:vAlign w:val="center"/>
                </w:tcPr>
                <w:p>
                  <w:pPr>
                    <w:pStyle w:val="8"/>
                    <w:rPr>
                      <w:rFonts w:ascii="Times New Roman" w:hAnsi="Times New Roman" w:cs="Times New Roman"/>
                      <w:sz w:val="18"/>
                      <w:szCs w:val="18"/>
                    </w:rPr>
                  </w:pPr>
                  <w:r>
                    <w:rPr>
                      <w:rFonts w:ascii="Times New Roman" w:hAnsi="Times New Roman" w:cs="Times New Roman"/>
                      <w:sz w:val="18"/>
                      <w:szCs w:val="18"/>
                    </w:rPr>
                    <w:t>201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3" w:hRule="atLeast"/>
                <w:jc w:val="center"/>
              </w:trPr>
              <w:tc>
                <w:tcPr>
                  <w:tcW w:w="612" w:type="pct"/>
                  <w:vMerge w:val="continue"/>
                  <w:vAlign w:val="center"/>
                </w:tcPr>
                <w:p>
                  <w:pPr>
                    <w:adjustRightInd w:val="0"/>
                    <w:snapToGrid w:val="0"/>
                    <w:jc w:val="center"/>
                    <w:rPr>
                      <w:rFonts w:cs="Times New Roman"/>
                      <w:sz w:val="18"/>
                      <w:szCs w:val="18"/>
                    </w:rPr>
                  </w:pPr>
                </w:p>
              </w:tc>
              <w:tc>
                <w:tcPr>
                  <w:tcW w:w="886" w:type="pct"/>
                  <w:vAlign w:val="center"/>
                </w:tcPr>
                <w:p>
                  <w:pPr>
                    <w:pStyle w:val="67"/>
                    <w:adjustRightInd w:val="0"/>
                    <w:snapToGrid w:val="0"/>
                    <w:rPr>
                      <w:rFonts w:eastAsia="宋体" w:cs="Times New Roman"/>
                      <w:sz w:val="18"/>
                      <w:szCs w:val="18"/>
                    </w:rPr>
                  </w:pPr>
                  <w:r>
                    <w:rPr>
                      <w:rFonts w:eastAsia="宋体" w:cs="Times New Roman"/>
                      <w:snapToGrid/>
                      <w:sz w:val="18"/>
                      <w:szCs w:val="18"/>
                    </w:rPr>
                    <w:t>风镐、空压机</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11</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19</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32</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53</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85</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129</w:t>
                  </w:r>
                </w:p>
              </w:tc>
              <w:tc>
                <w:tcPr>
                  <w:tcW w:w="437" w:type="pct"/>
                  <w:vAlign w:val="center"/>
                </w:tcPr>
                <w:p>
                  <w:pPr>
                    <w:pStyle w:val="8"/>
                    <w:rPr>
                      <w:rFonts w:ascii="Times New Roman" w:hAnsi="Times New Roman" w:cs="Times New Roman"/>
                      <w:sz w:val="18"/>
                      <w:szCs w:val="18"/>
                    </w:rPr>
                  </w:pPr>
                  <w:r>
                    <w:rPr>
                      <w:rFonts w:ascii="Times New Roman" w:hAnsi="Times New Roman" w:cs="Times New Roman"/>
                      <w:sz w:val="18"/>
                      <w:szCs w:val="18"/>
                    </w:rPr>
                    <w:t>188</w:t>
                  </w:r>
                </w:p>
              </w:tc>
              <w:tc>
                <w:tcPr>
                  <w:tcW w:w="442" w:type="pct"/>
                  <w:vAlign w:val="center"/>
                </w:tcPr>
                <w:p>
                  <w:pPr>
                    <w:pStyle w:val="8"/>
                    <w:rPr>
                      <w:rFonts w:ascii="Times New Roman" w:hAnsi="Times New Roman" w:cs="Times New Roman"/>
                      <w:sz w:val="18"/>
                      <w:szCs w:val="18"/>
                    </w:rPr>
                  </w:pPr>
                  <w:r>
                    <w:rPr>
                      <w:rFonts w:ascii="Times New Roman" w:hAnsi="Times New Roman" w:cs="Times New Roman"/>
                      <w:sz w:val="18"/>
                      <w:szCs w:val="18"/>
                    </w:rPr>
                    <w:t>260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3" w:hRule="atLeast"/>
                <w:jc w:val="center"/>
              </w:trPr>
              <w:tc>
                <w:tcPr>
                  <w:tcW w:w="612" w:type="pct"/>
                  <w:vMerge w:val="restart"/>
                  <w:vAlign w:val="center"/>
                </w:tcPr>
                <w:p>
                  <w:pPr>
                    <w:adjustRightInd w:val="0"/>
                    <w:snapToGrid w:val="0"/>
                    <w:jc w:val="center"/>
                    <w:rPr>
                      <w:rFonts w:cs="Times New Roman"/>
                      <w:sz w:val="18"/>
                      <w:szCs w:val="18"/>
                    </w:rPr>
                  </w:pPr>
                  <w:r>
                    <w:rPr>
                      <w:rFonts w:cs="Times New Roman"/>
                      <w:sz w:val="18"/>
                      <w:szCs w:val="18"/>
                    </w:rPr>
                    <w:t>杆塔组立</w:t>
                  </w:r>
                </w:p>
              </w:tc>
              <w:tc>
                <w:tcPr>
                  <w:tcW w:w="886" w:type="pct"/>
                  <w:vAlign w:val="center"/>
                </w:tcPr>
                <w:p>
                  <w:pPr>
                    <w:pStyle w:val="67"/>
                    <w:adjustRightInd w:val="0"/>
                    <w:snapToGrid w:val="0"/>
                    <w:rPr>
                      <w:rFonts w:eastAsia="宋体" w:cs="Times New Roman"/>
                      <w:sz w:val="18"/>
                      <w:szCs w:val="18"/>
                    </w:rPr>
                  </w:pPr>
                  <w:r>
                    <w:rPr>
                      <w:rFonts w:eastAsia="宋体" w:cs="Times New Roman"/>
                      <w:snapToGrid/>
                      <w:sz w:val="18"/>
                      <w:szCs w:val="18"/>
                    </w:rPr>
                    <w:t>卷场机、张力机、牵引机</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4</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8</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14</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24</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40</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64</w:t>
                  </w:r>
                </w:p>
              </w:tc>
              <w:tc>
                <w:tcPr>
                  <w:tcW w:w="437" w:type="pct"/>
                  <w:vAlign w:val="center"/>
                </w:tcPr>
                <w:p>
                  <w:pPr>
                    <w:pStyle w:val="8"/>
                    <w:rPr>
                      <w:rFonts w:ascii="Times New Roman" w:hAnsi="Times New Roman" w:cs="Times New Roman"/>
                      <w:sz w:val="18"/>
                      <w:szCs w:val="18"/>
                    </w:rPr>
                  </w:pPr>
                  <w:r>
                    <w:rPr>
                      <w:rFonts w:ascii="Times New Roman" w:hAnsi="Times New Roman" w:cs="Times New Roman"/>
                      <w:sz w:val="18"/>
                      <w:szCs w:val="18"/>
                    </w:rPr>
                    <w:t>101</w:t>
                  </w:r>
                </w:p>
              </w:tc>
              <w:tc>
                <w:tcPr>
                  <w:tcW w:w="442" w:type="pct"/>
                  <w:vAlign w:val="center"/>
                </w:tcPr>
                <w:p>
                  <w:pPr>
                    <w:pStyle w:val="8"/>
                    <w:rPr>
                      <w:rFonts w:ascii="Times New Roman" w:hAnsi="Times New Roman" w:cs="Times New Roman"/>
                      <w:sz w:val="18"/>
                      <w:szCs w:val="18"/>
                    </w:rPr>
                  </w:pPr>
                  <w:r>
                    <w:rPr>
                      <w:rFonts w:ascii="Times New Roman" w:hAnsi="Times New Roman" w:cs="Times New Roman"/>
                      <w:sz w:val="18"/>
                      <w:szCs w:val="18"/>
                    </w:rPr>
                    <w:t>151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3" w:hRule="atLeast"/>
                <w:jc w:val="center"/>
              </w:trPr>
              <w:tc>
                <w:tcPr>
                  <w:tcW w:w="612" w:type="pct"/>
                  <w:vMerge w:val="continue"/>
                  <w:vAlign w:val="center"/>
                </w:tcPr>
                <w:p>
                  <w:pPr>
                    <w:adjustRightInd w:val="0"/>
                    <w:snapToGrid w:val="0"/>
                    <w:jc w:val="center"/>
                    <w:rPr>
                      <w:rFonts w:cs="Times New Roman"/>
                      <w:sz w:val="18"/>
                      <w:szCs w:val="18"/>
                    </w:rPr>
                  </w:pPr>
                </w:p>
              </w:tc>
              <w:tc>
                <w:tcPr>
                  <w:tcW w:w="886" w:type="pct"/>
                  <w:vAlign w:val="center"/>
                </w:tcPr>
                <w:p>
                  <w:pPr>
                    <w:pStyle w:val="67"/>
                    <w:adjustRightInd w:val="0"/>
                    <w:snapToGrid w:val="0"/>
                    <w:rPr>
                      <w:rFonts w:eastAsia="宋体" w:cs="Times New Roman"/>
                      <w:sz w:val="18"/>
                      <w:szCs w:val="18"/>
                    </w:rPr>
                  </w:pPr>
                  <w:r>
                    <w:rPr>
                      <w:rFonts w:eastAsia="宋体" w:cs="Times New Roman"/>
                      <w:snapToGrid/>
                      <w:sz w:val="18"/>
                      <w:szCs w:val="18"/>
                    </w:rPr>
                    <w:t>起重机</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32</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53</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85</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129</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188</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260</w:t>
                  </w:r>
                </w:p>
              </w:tc>
              <w:tc>
                <w:tcPr>
                  <w:tcW w:w="437" w:type="pct"/>
                  <w:vAlign w:val="center"/>
                </w:tcPr>
                <w:p>
                  <w:pPr>
                    <w:pStyle w:val="8"/>
                    <w:rPr>
                      <w:rFonts w:ascii="Times New Roman" w:hAnsi="Times New Roman" w:cs="Times New Roman"/>
                      <w:sz w:val="18"/>
                      <w:szCs w:val="18"/>
                    </w:rPr>
                  </w:pPr>
                  <w:r>
                    <w:rPr>
                      <w:rFonts w:ascii="Times New Roman" w:hAnsi="Times New Roman" w:cs="Times New Roman"/>
                      <w:sz w:val="18"/>
                      <w:szCs w:val="18"/>
                    </w:rPr>
                    <w:t>345</w:t>
                  </w:r>
                </w:p>
              </w:tc>
              <w:tc>
                <w:tcPr>
                  <w:tcW w:w="442" w:type="pct"/>
                  <w:vAlign w:val="center"/>
                </w:tcPr>
                <w:p>
                  <w:pPr>
                    <w:pStyle w:val="8"/>
                    <w:rPr>
                      <w:rFonts w:ascii="Times New Roman" w:hAnsi="Times New Roman" w:cs="Times New Roman"/>
                      <w:sz w:val="18"/>
                      <w:szCs w:val="18"/>
                    </w:rPr>
                  </w:pPr>
                  <w:r>
                    <w:rPr>
                      <w:rFonts w:ascii="Times New Roman" w:hAnsi="Times New Roman" w:cs="Times New Roman"/>
                      <w:sz w:val="18"/>
                      <w:szCs w:val="18"/>
                    </w:rPr>
                    <w:t>441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3" w:hRule="atLeast"/>
                <w:jc w:val="center"/>
              </w:trPr>
              <w:tc>
                <w:tcPr>
                  <w:tcW w:w="612" w:type="pct"/>
                  <w:vMerge w:val="continue"/>
                  <w:vAlign w:val="center"/>
                </w:tcPr>
                <w:p>
                  <w:pPr>
                    <w:adjustRightInd w:val="0"/>
                    <w:snapToGrid w:val="0"/>
                    <w:jc w:val="center"/>
                    <w:rPr>
                      <w:rFonts w:cs="Times New Roman"/>
                      <w:sz w:val="18"/>
                      <w:szCs w:val="18"/>
                    </w:rPr>
                  </w:pPr>
                </w:p>
              </w:tc>
              <w:tc>
                <w:tcPr>
                  <w:tcW w:w="886" w:type="pct"/>
                  <w:vAlign w:val="center"/>
                </w:tcPr>
                <w:p>
                  <w:pPr>
                    <w:pStyle w:val="67"/>
                    <w:adjustRightInd w:val="0"/>
                    <w:snapToGrid w:val="0"/>
                    <w:rPr>
                      <w:rFonts w:eastAsia="宋体" w:cs="Times New Roman"/>
                      <w:sz w:val="18"/>
                      <w:szCs w:val="18"/>
                    </w:rPr>
                  </w:pPr>
                  <w:r>
                    <w:rPr>
                      <w:rFonts w:eastAsia="宋体" w:cs="Times New Roman"/>
                      <w:snapToGrid/>
                      <w:sz w:val="18"/>
                      <w:szCs w:val="18"/>
                    </w:rPr>
                    <w:t>重型运输车</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9</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15</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26</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43</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70</w:t>
                  </w:r>
                </w:p>
              </w:tc>
              <w:tc>
                <w:tcPr>
                  <w:tcW w:w="436" w:type="pct"/>
                  <w:vAlign w:val="center"/>
                </w:tcPr>
                <w:p>
                  <w:pPr>
                    <w:pStyle w:val="8"/>
                    <w:rPr>
                      <w:rFonts w:ascii="Times New Roman" w:hAnsi="Times New Roman" w:cs="Times New Roman"/>
                      <w:sz w:val="18"/>
                      <w:szCs w:val="18"/>
                    </w:rPr>
                  </w:pPr>
                  <w:r>
                    <w:rPr>
                      <w:rFonts w:ascii="Times New Roman" w:hAnsi="Times New Roman" w:cs="Times New Roman"/>
                      <w:sz w:val="18"/>
                      <w:szCs w:val="18"/>
                    </w:rPr>
                    <w:t>110</w:t>
                  </w:r>
                </w:p>
              </w:tc>
              <w:tc>
                <w:tcPr>
                  <w:tcW w:w="437" w:type="pct"/>
                  <w:vAlign w:val="center"/>
                </w:tcPr>
                <w:p>
                  <w:pPr>
                    <w:pStyle w:val="8"/>
                    <w:rPr>
                      <w:rFonts w:ascii="Times New Roman" w:hAnsi="Times New Roman" w:cs="Times New Roman"/>
                      <w:sz w:val="18"/>
                      <w:szCs w:val="18"/>
                    </w:rPr>
                  </w:pPr>
                  <w:r>
                    <w:rPr>
                      <w:rFonts w:ascii="Times New Roman" w:hAnsi="Times New Roman" w:cs="Times New Roman"/>
                      <w:sz w:val="18"/>
                      <w:szCs w:val="18"/>
                    </w:rPr>
                    <w:t>163</w:t>
                  </w:r>
                </w:p>
              </w:tc>
              <w:tc>
                <w:tcPr>
                  <w:tcW w:w="442" w:type="pct"/>
                  <w:vAlign w:val="center"/>
                </w:tcPr>
                <w:p>
                  <w:pPr>
                    <w:pStyle w:val="8"/>
                    <w:rPr>
                      <w:rFonts w:ascii="Times New Roman" w:hAnsi="Times New Roman" w:cs="Times New Roman"/>
                      <w:sz w:val="18"/>
                      <w:szCs w:val="18"/>
                    </w:rPr>
                  </w:pPr>
                  <w:r>
                    <w:rPr>
                      <w:rFonts w:ascii="Times New Roman" w:hAnsi="Times New Roman" w:cs="Times New Roman"/>
                      <w:sz w:val="18"/>
                      <w:szCs w:val="18"/>
                    </w:rPr>
                    <w:t>230</w:t>
                  </w:r>
                </w:p>
              </w:tc>
            </w:tr>
          </w:tbl>
          <w:p>
            <w:pPr>
              <w:spacing w:line="360" w:lineRule="auto"/>
              <w:ind w:firstLine="420" w:firstLineChars="200"/>
              <w:rPr>
                <w:rFonts w:cs="Times New Roman"/>
                <w:lang w:val="fr-FR"/>
              </w:rPr>
            </w:pPr>
            <w:r>
              <w:rPr>
                <w:rFonts w:hint="eastAsia"/>
              </w:rPr>
              <w:t>由以上预测结果可知，昼间施工噪声基础打桩阶段在距离施工场地230m外，基础结构阶段在距离施工场地53m外，杆塔组立阶段在距离施工场地129m外可达到《建筑施工场界环境噪声排放标准》（GB 12523-2011）标准限值要求；夜间施工噪声基础打桩阶段在距离施工场地502m外，基础结构阶段在距离施工场地188m外，杆塔组立阶段在距离施工场地345m 外可达到《建筑施工场界环境噪声排放标准》（GB 12523-2011）标准限值要求</w:t>
            </w:r>
            <w:r>
              <w:rPr>
                <w:rFonts w:cs="Times New Roman"/>
                <w:lang w:val="fr-FR"/>
              </w:rPr>
              <w:t>。</w:t>
            </w:r>
          </w:p>
          <w:p>
            <w:pPr>
              <w:spacing w:line="360" w:lineRule="auto"/>
              <w:ind w:firstLine="420" w:firstLineChars="200"/>
            </w:pPr>
            <w:r>
              <w:rPr>
                <w:rFonts w:hint="eastAsia"/>
              </w:rPr>
              <w:t>本工程评价范围内有2处声环境敏感目标，单个塔基施工周期短（一般为半个月），且输电线路跨距长、点分散，本工程拆除线路施工过程中噪声主要为张力放线过程中各种机械设备产生的噪声，以及运输车辆行驶产生的交通噪声，但本工程拆除工程较少，为减缓施工噪声对沿线附近居民的影响，应采取以下声环境保护措施：</w:t>
            </w:r>
          </w:p>
          <w:p>
            <w:pPr>
              <w:spacing w:line="360" w:lineRule="auto"/>
              <w:ind w:firstLine="420" w:firstLineChars="200"/>
            </w:pPr>
            <w:r>
              <w:rPr>
                <w:rFonts w:hint="eastAsia"/>
              </w:rPr>
              <w:t>（1）下阶段设计应尽量优化基础类型和施工工艺，应当优先使用低噪声施工工艺和设备；</w:t>
            </w:r>
          </w:p>
          <w:p>
            <w:pPr>
              <w:spacing w:line="360" w:lineRule="auto"/>
              <w:ind w:firstLine="420" w:firstLineChars="200"/>
            </w:pPr>
            <w:r>
              <w:rPr>
                <w:rFonts w:hint="eastAsia"/>
              </w:rPr>
              <w:t>（2）合理安排施工工序，避免高噪声设备同时运行，除抢修外禁止夜间施工；</w:t>
            </w:r>
          </w:p>
          <w:p>
            <w:pPr>
              <w:spacing w:line="360" w:lineRule="auto"/>
              <w:ind w:firstLine="420" w:firstLineChars="200"/>
            </w:pPr>
            <w:r>
              <w:rPr>
                <w:rFonts w:hint="eastAsia"/>
              </w:rPr>
              <w:t>（3）在噪声敏感建筑物集中区域施工作业，应结合与噪声敏感建筑物位置关系、地形等实际情况设置临时隔声围挡措施，尽量减缓施工噪声影响；</w:t>
            </w:r>
          </w:p>
          <w:p>
            <w:pPr>
              <w:spacing w:line="360" w:lineRule="auto"/>
              <w:ind w:firstLine="420" w:firstLineChars="200"/>
            </w:pPr>
            <w:r>
              <w:rPr>
                <w:rFonts w:hint="eastAsia"/>
              </w:rPr>
              <w:t>（4）本项目工程量较小，施工尽量安排在昼间，禁止夜间施工。</w:t>
            </w:r>
          </w:p>
          <w:p>
            <w:pPr>
              <w:spacing w:line="360" w:lineRule="auto"/>
              <w:ind w:firstLine="420" w:firstLineChars="200"/>
            </w:pPr>
            <w:r>
              <w:rPr>
                <w:rFonts w:hint="eastAsia"/>
              </w:rPr>
              <w:t>随着施工期的结束，输电线路的施工噪声对沿线居民的影响也随之消失。</w:t>
            </w:r>
          </w:p>
          <w:p>
            <w:pPr>
              <w:pStyle w:val="32"/>
              <w:keepLines/>
              <w:numPr>
                <w:ilvl w:val="1"/>
                <w:numId w:val="9"/>
              </w:numPr>
              <w:spacing w:line="360" w:lineRule="auto"/>
              <w:ind w:firstLineChars="0"/>
              <w:outlineLvl w:val="1"/>
              <w:rPr>
                <w:rFonts w:eastAsia="黑体" w:cs="Times New Roman"/>
                <w:bCs/>
                <w:szCs w:val="32"/>
              </w:rPr>
            </w:pPr>
            <w:r>
              <w:rPr>
                <w:rFonts w:eastAsia="黑体" w:cs="Times New Roman"/>
                <w:bCs/>
                <w:szCs w:val="32"/>
              </w:rPr>
              <w:t>环境空气影响分析</w:t>
            </w:r>
          </w:p>
          <w:p>
            <w:pPr>
              <w:spacing w:line="360" w:lineRule="auto"/>
              <w:ind w:firstLine="420" w:firstLineChars="200"/>
              <w:rPr>
                <w:rFonts w:cs="Times New Roman"/>
                <w:szCs w:val="21"/>
              </w:rPr>
            </w:pPr>
            <w:bookmarkStart w:id="28" w:name="_Hlk20758048"/>
            <w:r>
              <w:rPr>
                <w:rFonts w:cs="Times New Roman"/>
                <w:szCs w:val="21"/>
              </w:rPr>
              <w:t>施工期环境空气污染物主要来源于各类施工活动产生的施工扬尘及施工机械、施工车辆排放的废气。</w:t>
            </w:r>
          </w:p>
          <w:p>
            <w:pPr>
              <w:spacing w:line="360" w:lineRule="auto"/>
              <w:ind w:firstLine="420" w:firstLineChars="200"/>
              <w:rPr>
                <w:rFonts w:cs="Times New Roman"/>
                <w:szCs w:val="21"/>
              </w:rPr>
            </w:pPr>
            <w:r>
              <w:rPr>
                <w:rFonts w:cs="Times New Roman"/>
                <w:szCs w:val="21"/>
              </w:rPr>
              <w:t>据有关资料，车辆行驶产生的扬尘约占施工总扬尘的60%以上。施工车辆对工程区域环境空气质量会产生一定的影响</w:t>
            </w:r>
            <w:bookmarkEnd w:id="28"/>
            <w:r>
              <w:rPr>
                <w:rFonts w:cs="Times New Roman"/>
                <w:szCs w:val="21"/>
              </w:rPr>
              <w:t>，为减少扬尘产生的影响，需对受影响区域道路进行定期洒水抑尘。以往研究资料中施工场地洒水抑尘试验结果见表4.4-1。从施工场地洒水抑尘试验结果可知，洒水情况下TSP平均浓度比不洒水情况降低较多。</w:t>
            </w:r>
          </w:p>
          <w:p>
            <w:pPr>
              <w:jc w:val="center"/>
              <w:rPr>
                <w:rFonts w:eastAsia="黑体" w:cs="Times New Roman"/>
                <w:sz w:val="18"/>
                <w:szCs w:val="18"/>
              </w:rPr>
            </w:pPr>
            <w:r>
              <w:rPr>
                <w:rFonts w:eastAsia="黑体" w:cs="Times New Roman"/>
                <w:sz w:val="18"/>
                <w:szCs w:val="18"/>
              </w:rPr>
              <w:t>施工场地洒水抑尘试验结果一览表</w:t>
            </w:r>
          </w:p>
          <w:p>
            <w:pPr>
              <w:rPr>
                <w:rFonts w:eastAsia="黑体" w:cs="Times New Roman"/>
                <w:sz w:val="18"/>
                <w:szCs w:val="18"/>
              </w:rPr>
            </w:pPr>
            <w:r>
              <w:rPr>
                <w:rFonts w:eastAsia="黑体" w:cs="Times New Roman"/>
                <w:sz w:val="18"/>
                <w:szCs w:val="18"/>
              </w:rPr>
              <w:t>表4.4-1</w:t>
            </w:r>
          </w:p>
          <w:tbl>
            <w:tblPr>
              <w:tblStyle w:val="25"/>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1290"/>
              <w:gridCol w:w="1319"/>
              <w:gridCol w:w="1321"/>
              <w:gridCol w:w="1319"/>
              <w:gridCol w:w="132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6" w:type="pct"/>
                  <w:gridSpan w:val="2"/>
                </w:tcPr>
                <w:p>
                  <w:pPr>
                    <w:rPr>
                      <w:rFonts w:cs="Times New Roman"/>
                      <w:sz w:val="18"/>
                      <w:szCs w:val="21"/>
                    </w:rPr>
                  </w:pPr>
                  <w:r>
                    <w:rPr>
                      <w:rFonts w:cs="Times New Roman"/>
                      <w:sz w:val="18"/>
                      <w:szCs w:val="21"/>
                    </w:rPr>
                    <w:t>距离(m)</w:t>
                  </w:r>
                </w:p>
              </w:tc>
              <w:tc>
                <w:tcPr>
                  <w:tcW w:w="758" w:type="pct"/>
                </w:tcPr>
                <w:p>
                  <w:pPr>
                    <w:rPr>
                      <w:rFonts w:cs="Times New Roman"/>
                      <w:sz w:val="18"/>
                      <w:szCs w:val="21"/>
                    </w:rPr>
                  </w:pPr>
                  <w:r>
                    <w:rPr>
                      <w:rFonts w:cs="Times New Roman"/>
                      <w:sz w:val="18"/>
                      <w:szCs w:val="21"/>
                    </w:rPr>
                    <w:t>5</w:t>
                  </w:r>
                </w:p>
              </w:tc>
              <w:tc>
                <w:tcPr>
                  <w:tcW w:w="759" w:type="pct"/>
                </w:tcPr>
                <w:p>
                  <w:pPr>
                    <w:rPr>
                      <w:rFonts w:cs="Times New Roman"/>
                      <w:sz w:val="18"/>
                      <w:szCs w:val="21"/>
                    </w:rPr>
                  </w:pPr>
                  <w:r>
                    <w:rPr>
                      <w:rFonts w:cs="Times New Roman"/>
                      <w:sz w:val="18"/>
                      <w:szCs w:val="21"/>
                    </w:rPr>
                    <w:t>20</w:t>
                  </w:r>
                </w:p>
              </w:tc>
              <w:tc>
                <w:tcPr>
                  <w:tcW w:w="758" w:type="pct"/>
                </w:tcPr>
                <w:p>
                  <w:pPr>
                    <w:rPr>
                      <w:rFonts w:cs="Times New Roman"/>
                      <w:sz w:val="18"/>
                      <w:szCs w:val="21"/>
                    </w:rPr>
                  </w:pPr>
                  <w:r>
                    <w:rPr>
                      <w:rFonts w:cs="Times New Roman"/>
                      <w:sz w:val="18"/>
                      <w:szCs w:val="21"/>
                    </w:rPr>
                    <w:t>50</w:t>
                  </w:r>
                </w:p>
              </w:tc>
              <w:tc>
                <w:tcPr>
                  <w:tcW w:w="759" w:type="pct"/>
                </w:tcPr>
                <w:p>
                  <w:pPr>
                    <w:rPr>
                      <w:rFonts w:cs="Times New Roman"/>
                      <w:sz w:val="18"/>
                      <w:szCs w:val="21"/>
                    </w:rPr>
                  </w:pPr>
                  <w:r>
                    <w:rPr>
                      <w:rFonts w:cs="Times New Roman"/>
                      <w:sz w:val="18"/>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5" w:type="pct"/>
                  <w:vMerge w:val="restart"/>
                  <w:vAlign w:val="center"/>
                </w:tcPr>
                <w:p>
                  <w:pPr>
                    <w:jc w:val="center"/>
                    <w:rPr>
                      <w:rFonts w:cs="Times New Roman"/>
                      <w:sz w:val="18"/>
                      <w:szCs w:val="21"/>
                    </w:rPr>
                  </w:pPr>
                  <w:r>
                    <w:rPr>
                      <w:rFonts w:cs="Times New Roman"/>
                      <w:sz w:val="18"/>
                      <w:szCs w:val="21"/>
                    </w:rPr>
                    <w:t>TSP平均浓度(mg/m</w:t>
                  </w:r>
                  <w:r>
                    <w:rPr>
                      <w:rFonts w:cs="Times New Roman"/>
                      <w:sz w:val="18"/>
                      <w:szCs w:val="21"/>
                      <w:vertAlign w:val="superscript"/>
                    </w:rPr>
                    <w:t>3</w:t>
                  </w:r>
                  <w:r>
                    <w:rPr>
                      <w:rFonts w:cs="Times New Roman"/>
                      <w:sz w:val="18"/>
                      <w:szCs w:val="21"/>
                    </w:rPr>
                    <w:t>)</w:t>
                  </w:r>
                </w:p>
              </w:tc>
              <w:tc>
                <w:tcPr>
                  <w:tcW w:w="741" w:type="pct"/>
                </w:tcPr>
                <w:p>
                  <w:pPr>
                    <w:rPr>
                      <w:rFonts w:cs="Times New Roman"/>
                      <w:sz w:val="18"/>
                      <w:szCs w:val="21"/>
                    </w:rPr>
                  </w:pPr>
                  <w:r>
                    <w:rPr>
                      <w:rFonts w:cs="Times New Roman"/>
                      <w:sz w:val="18"/>
                      <w:szCs w:val="21"/>
                    </w:rPr>
                    <w:t>不洒水</w:t>
                  </w:r>
                </w:p>
              </w:tc>
              <w:tc>
                <w:tcPr>
                  <w:tcW w:w="758" w:type="pct"/>
                </w:tcPr>
                <w:p>
                  <w:pPr>
                    <w:rPr>
                      <w:rFonts w:cs="Times New Roman"/>
                      <w:sz w:val="18"/>
                      <w:szCs w:val="21"/>
                    </w:rPr>
                  </w:pPr>
                  <w:r>
                    <w:rPr>
                      <w:rFonts w:cs="Times New Roman"/>
                      <w:sz w:val="18"/>
                      <w:szCs w:val="21"/>
                    </w:rPr>
                    <w:t>10.14</w:t>
                  </w:r>
                </w:p>
              </w:tc>
              <w:tc>
                <w:tcPr>
                  <w:tcW w:w="759" w:type="pct"/>
                </w:tcPr>
                <w:p>
                  <w:pPr>
                    <w:rPr>
                      <w:rFonts w:cs="Times New Roman"/>
                      <w:sz w:val="18"/>
                      <w:szCs w:val="21"/>
                    </w:rPr>
                  </w:pPr>
                  <w:r>
                    <w:rPr>
                      <w:rFonts w:cs="Times New Roman"/>
                      <w:sz w:val="18"/>
                      <w:szCs w:val="21"/>
                    </w:rPr>
                    <w:t>2.89</w:t>
                  </w:r>
                </w:p>
              </w:tc>
              <w:tc>
                <w:tcPr>
                  <w:tcW w:w="758" w:type="pct"/>
                </w:tcPr>
                <w:p>
                  <w:pPr>
                    <w:rPr>
                      <w:rFonts w:cs="Times New Roman"/>
                      <w:sz w:val="18"/>
                      <w:szCs w:val="21"/>
                    </w:rPr>
                  </w:pPr>
                  <w:r>
                    <w:rPr>
                      <w:rFonts w:cs="Times New Roman"/>
                      <w:sz w:val="18"/>
                      <w:szCs w:val="21"/>
                    </w:rPr>
                    <w:t>1.15</w:t>
                  </w:r>
                </w:p>
              </w:tc>
              <w:tc>
                <w:tcPr>
                  <w:tcW w:w="759" w:type="pct"/>
                </w:tcPr>
                <w:p>
                  <w:pPr>
                    <w:rPr>
                      <w:rFonts w:cs="Times New Roman"/>
                      <w:sz w:val="18"/>
                      <w:szCs w:val="21"/>
                    </w:rPr>
                  </w:pPr>
                  <w:r>
                    <w:rPr>
                      <w:rFonts w:cs="Times New Roman"/>
                      <w:sz w:val="18"/>
                      <w:szCs w:val="21"/>
                    </w:rPr>
                    <w:t>0.86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5" w:type="pct"/>
                  <w:vMerge w:val="continue"/>
                </w:tcPr>
                <w:p>
                  <w:pPr>
                    <w:rPr>
                      <w:rFonts w:cs="Times New Roman"/>
                      <w:sz w:val="18"/>
                      <w:szCs w:val="21"/>
                    </w:rPr>
                  </w:pPr>
                </w:p>
              </w:tc>
              <w:tc>
                <w:tcPr>
                  <w:tcW w:w="741" w:type="pct"/>
                </w:tcPr>
                <w:p>
                  <w:pPr>
                    <w:rPr>
                      <w:rFonts w:cs="Times New Roman"/>
                      <w:sz w:val="18"/>
                      <w:szCs w:val="21"/>
                    </w:rPr>
                  </w:pPr>
                  <w:r>
                    <w:rPr>
                      <w:rFonts w:cs="Times New Roman"/>
                      <w:sz w:val="18"/>
                      <w:szCs w:val="21"/>
                    </w:rPr>
                    <w:t>洒水</w:t>
                  </w:r>
                </w:p>
              </w:tc>
              <w:tc>
                <w:tcPr>
                  <w:tcW w:w="758" w:type="pct"/>
                </w:tcPr>
                <w:p>
                  <w:pPr>
                    <w:rPr>
                      <w:rFonts w:cs="Times New Roman"/>
                      <w:sz w:val="18"/>
                      <w:szCs w:val="21"/>
                    </w:rPr>
                  </w:pPr>
                  <w:r>
                    <w:rPr>
                      <w:rFonts w:cs="Times New Roman"/>
                      <w:sz w:val="18"/>
                      <w:szCs w:val="21"/>
                    </w:rPr>
                    <w:t>2.01</w:t>
                  </w:r>
                </w:p>
              </w:tc>
              <w:tc>
                <w:tcPr>
                  <w:tcW w:w="759" w:type="pct"/>
                </w:tcPr>
                <w:p>
                  <w:pPr>
                    <w:rPr>
                      <w:rFonts w:cs="Times New Roman"/>
                      <w:sz w:val="18"/>
                      <w:szCs w:val="21"/>
                    </w:rPr>
                  </w:pPr>
                  <w:r>
                    <w:rPr>
                      <w:rFonts w:cs="Times New Roman"/>
                      <w:sz w:val="18"/>
                      <w:szCs w:val="21"/>
                    </w:rPr>
                    <w:t>1.40</w:t>
                  </w:r>
                </w:p>
              </w:tc>
              <w:tc>
                <w:tcPr>
                  <w:tcW w:w="758" w:type="pct"/>
                </w:tcPr>
                <w:p>
                  <w:pPr>
                    <w:rPr>
                      <w:rFonts w:cs="Times New Roman"/>
                      <w:sz w:val="18"/>
                      <w:szCs w:val="21"/>
                    </w:rPr>
                  </w:pPr>
                  <w:r>
                    <w:rPr>
                      <w:rFonts w:cs="Times New Roman"/>
                      <w:sz w:val="18"/>
                      <w:szCs w:val="21"/>
                    </w:rPr>
                    <w:t>0.67</w:t>
                  </w:r>
                </w:p>
              </w:tc>
              <w:tc>
                <w:tcPr>
                  <w:tcW w:w="759" w:type="pct"/>
                </w:tcPr>
                <w:p>
                  <w:pPr>
                    <w:rPr>
                      <w:rFonts w:cs="Times New Roman"/>
                      <w:sz w:val="18"/>
                      <w:szCs w:val="21"/>
                    </w:rPr>
                  </w:pPr>
                  <w:r>
                    <w:rPr>
                      <w:rFonts w:cs="Times New Roman"/>
                      <w:sz w:val="18"/>
                      <w:szCs w:val="21"/>
                    </w:rPr>
                    <w:t>0.60</w:t>
                  </w:r>
                </w:p>
              </w:tc>
            </w:tr>
          </w:tbl>
          <w:p>
            <w:pPr>
              <w:spacing w:line="360" w:lineRule="auto"/>
              <w:ind w:firstLine="420" w:firstLineChars="200"/>
              <w:rPr>
                <w:rFonts w:cs="Times New Roman"/>
                <w:szCs w:val="21"/>
                <w:lang w:val="zh-CN"/>
              </w:rPr>
            </w:pPr>
            <w:bookmarkStart w:id="29" w:name="_Hlk20759895"/>
            <w:r>
              <w:rPr>
                <w:rFonts w:cs="Times New Roman"/>
                <w:szCs w:val="21"/>
                <w:lang w:val="zh-CN"/>
              </w:rPr>
              <w:t>施工场地内裸露地表及临时堆渣应采取土工布围护，尽量减少扬尘产生；水泥、石灰等散体材料运输过程中必须进行覆盖，存放时采用入库或严密遮盖措施存放；碎料及时清理，集中存放并进行标识；施工现场及时进行洒水降尘。在采取洒水降尘措施后，对周边环境空气影响很小。</w:t>
            </w:r>
          </w:p>
          <w:p>
            <w:pPr>
              <w:spacing w:line="360" w:lineRule="auto"/>
              <w:ind w:firstLine="420" w:firstLineChars="200"/>
              <w:rPr>
                <w:rFonts w:cs="Times New Roman"/>
                <w:szCs w:val="21"/>
                <w:lang w:val="zh-CN"/>
              </w:rPr>
            </w:pPr>
            <w:r>
              <w:rPr>
                <w:rFonts w:cs="Times New Roman"/>
                <w:szCs w:val="21"/>
              </w:rPr>
              <w:t>另外施工运输车辆、部分施工机械设备运行会产生少量尾气（含有NO</w:t>
            </w:r>
            <w:r>
              <w:rPr>
                <w:rFonts w:cs="Times New Roman"/>
                <w:szCs w:val="21"/>
                <w:vertAlign w:val="subscript"/>
              </w:rPr>
              <w:t>x</w:t>
            </w:r>
            <w:r>
              <w:rPr>
                <w:rFonts w:cs="Times New Roman"/>
                <w:szCs w:val="21"/>
              </w:rPr>
              <w:t>、CO、C</w:t>
            </w:r>
            <w:r>
              <w:rPr>
                <w:rFonts w:cs="Times New Roman"/>
                <w:szCs w:val="21"/>
                <w:vertAlign w:val="subscript"/>
              </w:rPr>
              <w:t>m</w:t>
            </w:r>
            <w:r>
              <w:rPr>
                <w:rFonts w:cs="Times New Roman"/>
                <w:szCs w:val="21"/>
              </w:rPr>
              <w:t>H</w:t>
            </w:r>
            <w:r>
              <w:rPr>
                <w:rFonts w:cs="Times New Roman"/>
                <w:szCs w:val="21"/>
                <w:vertAlign w:val="subscript"/>
              </w:rPr>
              <w:t>n</w:t>
            </w:r>
            <w:r>
              <w:rPr>
                <w:rFonts w:cs="Times New Roman"/>
                <w:szCs w:val="21"/>
              </w:rPr>
              <w:t>等污染物），由于本</w:t>
            </w:r>
            <w:r>
              <w:rPr>
                <w:rFonts w:hint="eastAsia" w:cs="Times New Roman"/>
                <w:szCs w:val="21"/>
              </w:rPr>
              <w:t>项目</w:t>
            </w:r>
            <w:r>
              <w:rPr>
                <w:rFonts w:cs="Times New Roman"/>
                <w:szCs w:val="21"/>
              </w:rPr>
              <w:t>施工机械及运输车辆数量较少且作业时间短，因此施工及运输车辆尾气排放相对周边道路现有车辆尾气排放的环境影响较小。</w:t>
            </w:r>
            <w:bookmarkEnd w:id="29"/>
          </w:p>
          <w:p>
            <w:pPr>
              <w:pStyle w:val="32"/>
              <w:keepLines/>
              <w:numPr>
                <w:ilvl w:val="1"/>
                <w:numId w:val="9"/>
              </w:numPr>
              <w:spacing w:line="360" w:lineRule="auto"/>
              <w:ind w:firstLineChars="0"/>
              <w:outlineLvl w:val="1"/>
              <w:rPr>
                <w:rFonts w:eastAsia="黑体" w:cs="Times New Roman"/>
                <w:bCs/>
                <w:szCs w:val="32"/>
              </w:rPr>
            </w:pPr>
            <w:r>
              <w:rPr>
                <w:rFonts w:eastAsia="黑体" w:cs="Times New Roman"/>
                <w:bCs/>
                <w:szCs w:val="32"/>
              </w:rPr>
              <w:t>固体废物影响分析</w:t>
            </w:r>
          </w:p>
          <w:p>
            <w:pPr>
              <w:spacing w:line="360" w:lineRule="auto"/>
              <w:ind w:firstLine="420" w:firstLineChars="200"/>
              <w:rPr>
                <w:rFonts w:cs="Times New Roman"/>
                <w:szCs w:val="21"/>
              </w:rPr>
            </w:pPr>
            <w:r>
              <w:rPr>
                <w:rFonts w:cs="Times New Roman"/>
                <w:szCs w:val="21"/>
              </w:rPr>
              <w:t>施工期固体废物包括建筑物料、材料包装</w:t>
            </w:r>
            <w:r>
              <w:rPr>
                <w:rFonts w:hint="eastAsia" w:cs="Times New Roman"/>
                <w:szCs w:val="21"/>
              </w:rPr>
              <w:t>、废旧杆塔及导线</w:t>
            </w:r>
            <w:r>
              <w:rPr>
                <w:rFonts w:cs="Times New Roman"/>
                <w:szCs w:val="21"/>
              </w:rPr>
              <w:t>等施工固体废弃物和施工人员生活垃圾。</w:t>
            </w:r>
          </w:p>
          <w:p>
            <w:pPr>
              <w:spacing w:line="360" w:lineRule="auto"/>
              <w:ind w:firstLine="420" w:firstLineChars="200"/>
              <w:rPr>
                <w:rFonts w:cs="Times New Roman"/>
                <w:szCs w:val="21"/>
              </w:rPr>
            </w:pPr>
            <w:r>
              <w:rPr>
                <w:rFonts w:cs="Times New Roman"/>
                <w:szCs w:val="21"/>
              </w:rPr>
              <w:t>施工固体废弃物：输电线路所用铁塔基础挖掘土方量很小，土方就地用于平整场地和植被恢复，基本无弃渣产生。各类建筑、装修产生的剩余物料等，建筑施工垃圾应集中堆放，并及时转运至本地建筑垃圾指定堆放点，本项目需拆除3基铁塔</w:t>
            </w:r>
            <w:r>
              <w:rPr>
                <w:rFonts w:hint="eastAsia" w:cs="Times New Roman"/>
                <w:szCs w:val="21"/>
              </w:rPr>
              <w:t>，拆除架空线路长0.6</w:t>
            </w:r>
            <w:r>
              <w:rPr>
                <w:rFonts w:cs="Times New Roman"/>
                <w:szCs w:val="21"/>
              </w:rPr>
              <w:t>1</w:t>
            </w:r>
            <w:r>
              <w:rPr>
                <w:rFonts w:hint="eastAsia" w:cs="Times New Roman"/>
                <w:szCs w:val="21"/>
              </w:rPr>
              <w:t>km，</w:t>
            </w:r>
            <w:r>
              <w:rPr>
                <w:rFonts w:cs="Times New Roman"/>
                <w:szCs w:val="21"/>
                <w:lang w:val="zh-CN"/>
              </w:rPr>
              <w:t>拆除产生的导、地线等电气设备由建设单位物资部门回收处理，不得随意丢弃</w:t>
            </w:r>
            <w:r>
              <w:rPr>
                <w:rFonts w:cs="Times New Roman"/>
                <w:szCs w:val="21"/>
              </w:rPr>
              <w:t>，塔基拆除后应进行平整、迹地恢复。</w:t>
            </w:r>
          </w:p>
          <w:p>
            <w:pPr>
              <w:spacing w:line="360" w:lineRule="auto"/>
              <w:ind w:firstLine="420" w:firstLineChars="200"/>
              <w:rPr>
                <w:rFonts w:cs="Times New Roman"/>
                <w:szCs w:val="21"/>
              </w:rPr>
            </w:pPr>
            <w:r>
              <w:rPr>
                <w:rFonts w:cs="Times New Roman"/>
                <w:szCs w:val="21"/>
              </w:rPr>
              <w:t>施工人员生活垃圾：主要来源于输电线路施工人员。本</w:t>
            </w:r>
            <w:r>
              <w:rPr>
                <w:rFonts w:hint="eastAsia" w:cs="Times New Roman"/>
                <w:szCs w:val="21"/>
              </w:rPr>
              <w:t>项目</w:t>
            </w:r>
            <w:r>
              <w:rPr>
                <w:rFonts w:cs="Times New Roman"/>
                <w:szCs w:val="21"/>
              </w:rPr>
              <w:t>输电线路杆塔数量较少、线路长度较短，工程施工人员相对较少、作业时间较短，施工人员产生的施工垃圾和生活垃圾很少，生活垃圾纳入其租住民房的垃圾收集系统收集处理。</w:t>
            </w:r>
          </w:p>
          <w:p>
            <w:pPr>
              <w:pStyle w:val="32"/>
              <w:keepLines/>
              <w:numPr>
                <w:ilvl w:val="1"/>
                <w:numId w:val="9"/>
              </w:numPr>
              <w:spacing w:line="360" w:lineRule="auto"/>
              <w:ind w:firstLineChars="0"/>
              <w:outlineLvl w:val="1"/>
              <w:rPr>
                <w:rFonts w:eastAsia="黑体" w:cs="Times New Roman"/>
                <w:bCs/>
                <w:szCs w:val="32"/>
              </w:rPr>
            </w:pPr>
            <w:r>
              <w:rPr>
                <w:rFonts w:eastAsia="黑体" w:cs="Times New Roman"/>
                <w:bCs/>
                <w:szCs w:val="32"/>
              </w:rPr>
              <w:t>地表水环境影响分析</w:t>
            </w:r>
          </w:p>
          <w:p>
            <w:pPr>
              <w:spacing w:line="360" w:lineRule="auto"/>
              <w:ind w:firstLine="420" w:firstLineChars="200"/>
              <w:rPr>
                <w:rFonts w:cs="Times New Roman"/>
                <w:szCs w:val="21"/>
              </w:rPr>
            </w:pPr>
            <w:r>
              <w:rPr>
                <w:rFonts w:cs="Times New Roman"/>
                <w:szCs w:val="21"/>
              </w:rPr>
              <w:t>施工期污废水包括施工生产废水和施工人员生活污水。</w:t>
            </w:r>
          </w:p>
          <w:p>
            <w:pPr>
              <w:spacing w:line="360" w:lineRule="auto"/>
              <w:ind w:firstLine="420" w:firstLineChars="200"/>
              <w:rPr>
                <w:rFonts w:cs="Times New Roman"/>
                <w:szCs w:val="21"/>
                <w:highlight w:val="yellow"/>
              </w:rPr>
            </w:pPr>
            <w:bookmarkStart w:id="30" w:name="_Hlk20646175"/>
            <w:bookmarkStart w:id="31" w:name="_Hlk20646341"/>
            <w:r>
              <w:rPr>
                <w:rFonts w:cs="Times New Roman"/>
                <w:szCs w:val="21"/>
              </w:rPr>
              <w:t>本</w:t>
            </w:r>
            <w:r>
              <w:rPr>
                <w:rFonts w:hint="eastAsia" w:cs="Times New Roman"/>
                <w:szCs w:val="21"/>
              </w:rPr>
              <w:t>项目拟建</w:t>
            </w:r>
            <w:r>
              <w:rPr>
                <w:rFonts w:cs="Times New Roman"/>
                <w:szCs w:val="21"/>
              </w:rPr>
              <w:t>架空线路基础主要采用</w:t>
            </w:r>
            <w:r>
              <w:rPr>
                <w:rFonts w:hint="eastAsia" w:cs="Times New Roman"/>
                <w:szCs w:val="21"/>
              </w:rPr>
              <w:t>注桩基础、板式基础，拟建</w:t>
            </w:r>
            <w:r>
              <w:rPr>
                <w:rFonts w:cs="Times New Roman"/>
                <w:szCs w:val="21"/>
              </w:rPr>
              <w:t>4</w:t>
            </w:r>
            <w:r>
              <w:rPr>
                <w:rFonts w:hint="eastAsia" w:cs="Times New Roman"/>
                <w:szCs w:val="21"/>
              </w:rPr>
              <w:t>基铁塔。输电线路塔基基础采用灌注桩工艺，基础开挖产生的少量泥浆水经衬砌泥浆池沉淀后自然蒸发；</w:t>
            </w:r>
            <w:r>
              <w:rPr>
                <w:rFonts w:cs="Times New Roman"/>
                <w:szCs w:val="21"/>
              </w:rPr>
              <w:t>塔基基础所需混凝土量较少，采用商购混凝土，基本无混凝土拌和废水产生。</w:t>
            </w:r>
            <w:bookmarkEnd w:id="30"/>
            <w:bookmarkEnd w:id="31"/>
            <w:r>
              <w:rPr>
                <w:rFonts w:cs="Times New Roman"/>
                <w:szCs w:val="21"/>
              </w:rPr>
              <w:t>输电线路施工人员一般租用当地民房，生活污水可纳入工人租住民房污水系统处理，因此对周边</w:t>
            </w:r>
            <w:r>
              <w:rPr>
                <w:rFonts w:hint="eastAsia" w:cs="Times New Roman"/>
                <w:szCs w:val="21"/>
              </w:rPr>
              <w:t>水</w:t>
            </w:r>
            <w:r>
              <w:rPr>
                <w:rFonts w:cs="Times New Roman"/>
                <w:szCs w:val="21"/>
              </w:rPr>
              <w:t>环境</w:t>
            </w:r>
            <w:r>
              <w:rPr>
                <w:rFonts w:hint="eastAsia" w:cs="Times New Roman"/>
                <w:szCs w:val="21"/>
              </w:rPr>
              <w:t>不产生</w:t>
            </w:r>
            <w:r>
              <w:rPr>
                <w:rFonts w:cs="Times New Roman"/>
                <w:szCs w:val="21"/>
              </w:rPr>
              <w:t>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534" w:hRule="atLeast"/>
          <w:jc w:val="center"/>
        </w:trPr>
        <w:tc>
          <w:tcPr>
            <w:tcW w:w="229" w:type="pct"/>
            <w:tcMar>
              <w:left w:w="28" w:type="dxa"/>
              <w:right w:w="28" w:type="dxa"/>
            </w:tcMar>
            <w:vAlign w:val="center"/>
          </w:tcPr>
          <w:p>
            <w:pPr>
              <w:adjustRightInd w:val="0"/>
              <w:snapToGrid w:val="0"/>
              <w:jc w:val="center"/>
              <w:rPr>
                <w:rFonts w:eastAsia="黑体" w:cs="Times New Roman"/>
                <w:bCs/>
                <w:spacing w:val="10"/>
                <w:szCs w:val="21"/>
              </w:rPr>
            </w:pPr>
            <w:r>
              <w:rPr>
                <w:rFonts w:eastAsia="黑体" w:cs="Times New Roman"/>
                <w:bCs/>
                <w:spacing w:val="10"/>
                <w:szCs w:val="21"/>
              </w:rPr>
              <w:t>运</w:t>
            </w:r>
          </w:p>
          <w:p>
            <w:pPr>
              <w:adjustRightInd w:val="0"/>
              <w:snapToGrid w:val="0"/>
              <w:jc w:val="center"/>
              <w:rPr>
                <w:rFonts w:eastAsia="黑体" w:cs="Times New Roman"/>
                <w:bCs/>
                <w:spacing w:val="10"/>
                <w:szCs w:val="21"/>
              </w:rPr>
            </w:pPr>
            <w:r>
              <w:rPr>
                <w:rFonts w:eastAsia="黑体" w:cs="Times New Roman"/>
                <w:bCs/>
                <w:spacing w:val="10"/>
                <w:szCs w:val="21"/>
              </w:rPr>
              <w:t>营</w:t>
            </w:r>
          </w:p>
          <w:p>
            <w:pPr>
              <w:adjustRightInd w:val="0"/>
              <w:snapToGrid w:val="0"/>
              <w:jc w:val="center"/>
              <w:rPr>
                <w:rFonts w:eastAsia="黑体" w:cs="Times New Roman"/>
                <w:bCs/>
                <w:spacing w:val="10"/>
                <w:szCs w:val="21"/>
              </w:rPr>
            </w:pPr>
            <w:r>
              <w:rPr>
                <w:rFonts w:eastAsia="黑体" w:cs="Times New Roman"/>
                <w:bCs/>
                <w:spacing w:val="10"/>
                <w:szCs w:val="21"/>
              </w:rPr>
              <w:t>期</w:t>
            </w:r>
          </w:p>
          <w:p>
            <w:pPr>
              <w:adjustRightInd w:val="0"/>
              <w:snapToGrid w:val="0"/>
              <w:jc w:val="center"/>
              <w:rPr>
                <w:rFonts w:eastAsia="黑体" w:cs="Times New Roman"/>
                <w:bCs/>
                <w:spacing w:val="10"/>
                <w:szCs w:val="21"/>
              </w:rPr>
            </w:pPr>
            <w:r>
              <w:rPr>
                <w:rFonts w:eastAsia="黑体" w:cs="Times New Roman"/>
                <w:bCs/>
                <w:spacing w:val="10"/>
                <w:szCs w:val="21"/>
              </w:rPr>
              <w:t>生</w:t>
            </w:r>
          </w:p>
          <w:p>
            <w:pPr>
              <w:adjustRightInd w:val="0"/>
              <w:snapToGrid w:val="0"/>
              <w:jc w:val="center"/>
              <w:rPr>
                <w:rFonts w:eastAsia="黑体" w:cs="Times New Roman"/>
                <w:bCs/>
                <w:spacing w:val="10"/>
                <w:szCs w:val="21"/>
              </w:rPr>
            </w:pPr>
            <w:r>
              <w:rPr>
                <w:rFonts w:eastAsia="黑体" w:cs="Times New Roman"/>
                <w:bCs/>
                <w:spacing w:val="10"/>
                <w:szCs w:val="21"/>
              </w:rPr>
              <w:t>态</w:t>
            </w:r>
          </w:p>
          <w:p>
            <w:pPr>
              <w:adjustRightInd w:val="0"/>
              <w:snapToGrid w:val="0"/>
              <w:jc w:val="center"/>
              <w:rPr>
                <w:rFonts w:eastAsia="黑体" w:cs="Times New Roman"/>
                <w:bCs/>
                <w:spacing w:val="10"/>
                <w:szCs w:val="21"/>
              </w:rPr>
            </w:pPr>
            <w:r>
              <w:rPr>
                <w:rFonts w:eastAsia="黑体" w:cs="Times New Roman"/>
                <w:bCs/>
                <w:spacing w:val="10"/>
                <w:szCs w:val="21"/>
              </w:rPr>
              <w:t>环</w:t>
            </w:r>
          </w:p>
          <w:p>
            <w:pPr>
              <w:adjustRightInd w:val="0"/>
              <w:snapToGrid w:val="0"/>
              <w:jc w:val="center"/>
              <w:rPr>
                <w:rFonts w:eastAsia="黑体" w:cs="Times New Roman"/>
                <w:bCs/>
                <w:spacing w:val="10"/>
                <w:szCs w:val="21"/>
              </w:rPr>
            </w:pPr>
            <w:r>
              <w:rPr>
                <w:rFonts w:eastAsia="黑体" w:cs="Times New Roman"/>
                <w:bCs/>
                <w:spacing w:val="10"/>
                <w:szCs w:val="21"/>
              </w:rPr>
              <w:t>境</w:t>
            </w:r>
          </w:p>
          <w:p>
            <w:pPr>
              <w:adjustRightInd w:val="0"/>
              <w:snapToGrid w:val="0"/>
              <w:jc w:val="center"/>
              <w:rPr>
                <w:rFonts w:eastAsia="黑体" w:cs="Times New Roman"/>
                <w:bCs/>
                <w:spacing w:val="10"/>
                <w:szCs w:val="21"/>
              </w:rPr>
            </w:pPr>
            <w:r>
              <w:rPr>
                <w:rFonts w:eastAsia="黑体" w:cs="Times New Roman"/>
                <w:bCs/>
                <w:spacing w:val="10"/>
                <w:szCs w:val="21"/>
              </w:rPr>
              <w:t>影</w:t>
            </w:r>
          </w:p>
          <w:p>
            <w:pPr>
              <w:adjustRightInd w:val="0"/>
              <w:snapToGrid w:val="0"/>
              <w:jc w:val="center"/>
              <w:rPr>
                <w:rFonts w:eastAsia="黑体" w:cs="Times New Roman"/>
                <w:bCs/>
                <w:spacing w:val="10"/>
                <w:szCs w:val="21"/>
              </w:rPr>
            </w:pPr>
            <w:r>
              <w:rPr>
                <w:rFonts w:eastAsia="黑体" w:cs="Times New Roman"/>
                <w:bCs/>
                <w:spacing w:val="10"/>
                <w:szCs w:val="21"/>
              </w:rPr>
              <w:t>响</w:t>
            </w:r>
          </w:p>
          <w:p>
            <w:pPr>
              <w:adjustRightInd w:val="0"/>
              <w:snapToGrid w:val="0"/>
              <w:jc w:val="center"/>
              <w:rPr>
                <w:rFonts w:eastAsia="黑体" w:cs="Times New Roman"/>
                <w:bCs/>
                <w:spacing w:val="10"/>
                <w:szCs w:val="21"/>
              </w:rPr>
            </w:pPr>
            <w:r>
              <w:rPr>
                <w:rFonts w:eastAsia="黑体" w:cs="Times New Roman"/>
                <w:bCs/>
                <w:spacing w:val="10"/>
                <w:szCs w:val="21"/>
              </w:rPr>
              <w:t>分</w:t>
            </w:r>
          </w:p>
          <w:p>
            <w:pPr>
              <w:adjustRightInd w:val="0"/>
              <w:snapToGrid w:val="0"/>
              <w:jc w:val="center"/>
              <w:rPr>
                <w:rFonts w:eastAsia="黑体" w:cs="Times New Roman"/>
                <w:bCs/>
                <w:spacing w:val="10"/>
                <w:szCs w:val="21"/>
              </w:rPr>
            </w:pPr>
            <w:r>
              <w:rPr>
                <w:rFonts w:eastAsia="黑体" w:cs="Times New Roman"/>
                <w:bCs/>
                <w:spacing w:val="10"/>
                <w:szCs w:val="21"/>
              </w:rPr>
              <w:t>析</w:t>
            </w:r>
          </w:p>
        </w:tc>
        <w:tc>
          <w:tcPr>
            <w:tcW w:w="4770" w:type="pct"/>
          </w:tcPr>
          <w:p>
            <w:pPr>
              <w:pStyle w:val="32"/>
              <w:keepLines/>
              <w:numPr>
                <w:ilvl w:val="1"/>
                <w:numId w:val="9"/>
              </w:numPr>
              <w:spacing w:line="360" w:lineRule="auto"/>
              <w:ind w:firstLineChars="0"/>
              <w:outlineLvl w:val="1"/>
              <w:rPr>
                <w:rFonts w:eastAsia="黑体" w:cs="Times New Roman"/>
                <w:bCs/>
                <w:szCs w:val="32"/>
              </w:rPr>
            </w:pPr>
            <w:r>
              <w:rPr>
                <w:rFonts w:eastAsia="黑体" w:cs="Times New Roman"/>
                <w:bCs/>
                <w:szCs w:val="32"/>
              </w:rPr>
              <w:t>电磁环境影响预测与评价</w:t>
            </w:r>
          </w:p>
          <w:p>
            <w:pPr>
              <w:pStyle w:val="24"/>
              <w:ind w:firstLine="420"/>
              <w:rPr>
                <w:rFonts w:cs="Times New Roman"/>
              </w:rPr>
            </w:pPr>
            <w:r>
              <w:rPr>
                <w:rFonts w:cs="Times New Roman"/>
              </w:rPr>
              <w:t>通过模式预测分析，本</w:t>
            </w:r>
            <w:r>
              <w:rPr>
                <w:rFonts w:hint="eastAsia" w:cs="Times New Roman"/>
              </w:rPr>
              <w:t>项目</w:t>
            </w:r>
            <w:r>
              <w:rPr>
                <w:rFonts w:cs="Times New Roman"/>
              </w:rPr>
              <w:t>输电线路沿线</w:t>
            </w:r>
            <w:r>
              <w:rPr>
                <w:rFonts w:hint="eastAsia" w:cs="Times New Roman"/>
              </w:rPr>
              <w:t>及</w:t>
            </w:r>
            <w:r>
              <w:rPr>
                <w:rFonts w:cs="Times New Roman"/>
              </w:rPr>
              <w:t>电磁环境敏感目标处电磁环境分别满足《电磁环境控制限值》（GB 8702 -2014）规定的工频电磁强度4kV/m、工频磁感应强度100μT的公众曝露限值要求。电磁环境影响分析详见《专项评价》。</w:t>
            </w:r>
          </w:p>
          <w:p>
            <w:pPr>
              <w:pStyle w:val="32"/>
              <w:keepLines/>
              <w:numPr>
                <w:ilvl w:val="1"/>
                <w:numId w:val="9"/>
              </w:numPr>
              <w:spacing w:line="360" w:lineRule="auto"/>
              <w:ind w:firstLineChars="0"/>
              <w:outlineLvl w:val="1"/>
              <w:rPr>
                <w:rFonts w:eastAsia="黑体" w:cs="Times New Roman"/>
                <w:bCs/>
                <w:szCs w:val="32"/>
              </w:rPr>
            </w:pPr>
            <w:r>
              <w:rPr>
                <w:rFonts w:eastAsia="黑体" w:cs="Times New Roman"/>
                <w:bCs/>
                <w:szCs w:val="32"/>
              </w:rPr>
              <w:t>声环境影响预测与评价</w:t>
            </w:r>
          </w:p>
          <w:p>
            <w:pPr>
              <w:pStyle w:val="24"/>
              <w:ind w:firstLine="420"/>
              <w:rPr>
                <w:rFonts w:cs="Times New Roman"/>
              </w:rPr>
            </w:pPr>
            <w:r>
              <w:rPr>
                <w:rFonts w:cs="Times New Roman"/>
              </w:rPr>
              <w:t>根据《环境影响评价技术导则 输变电》（HJ 24-2020），本项目</w:t>
            </w:r>
            <w:r>
              <w:rPr>
                <w:rFonts w:hint="eastAsia" w:cs="Times New Roman"/>
              </w:rPr>
              <w:t>拟建110kV架空线</w:t>
            </w:r>
            <w:r>
              <w:rPr>
                <w:rFonts w:cs="Times New Roman"/>
              </w:rPr>
              <w:t>路声环境影响评价均采用类比监测的方法进行。</w:t>
            </w:r>
          </w:p>
          <w:p>
            <w:pPr>
              <w:pStyle w:val="24"/>
              <w:ind w:firstLine="420"/>
              <w:rPr>
                <w:rFonts w:cs="Times New Roman"/>
              </w:rPr>
            </w:pPr>
            <w:r>
              <w:rPr>
                <w:rFonts w:hint="eastAsia" w:cs="Times New Roman"/>
              </w:rPr>
              <w:t>①</w:t>
            </w:r>
            <w:r>
              <w:rPr>
                <w:rFonts w:cs="Times New Roman"/>
              </w:rPr>
              <w:t xml:space="preserve"> </w:t>
            </w:r>
            <w:r>
              <w:rPr>
                <w:rFonts w:hint="eastAsia" w:cs="Times New Roman"/>
              </w:rPr>
              <w:t>类比对象</w:t>
            </w:r>
          </w:p>
          <w:p>
            <w:pPr>
              <w:pStyle w:val="24"/>
              <w:ind w:firstLine="420"/>
              <w:rPr>
                <w:rFonts w:cs="Times New Roman"/>
              </w:rPr>
            </w:pPr>
            <w:r>
              <w:rPr>
                <w:rFonts w:hint="eastAsia" w:cs="Times New Roman"/>
              </w:rPr>
              <w:t>本次环评对本工程</w:t>
            </w:r>
            <w:r>
              <w:rPr>
                <w:rFonts w:hint="eastAsia" w:cs="Times New Roman"/>
                <w:szCs w:val="21"/>
              </w:rPr>
              <w:t>110kV民盐1292线20#-22#</w:t>
            </w:r>
            <w:r>
              <w:rPr>
                <w:rFonts w:hint="eastAsia" w:cs="Times New Roman"/>
              </w:rPr>
              <w:t>现有线路进行了实测，现有线路电压等级、架设方式、架设回路与本项目基本相同，作为类比对象是可行的。可比性分析见表</w:t>
            </w:r>
            <w:r>
              <w:rPr>
                <w:rFonts w:cs="Times New Roman"/>
              </w:rPr>
              <w:t>4.8-1</w:t>
            </w:r>
            <w:r>
              <w:rPr>
                <w:rFonts w:hint="eastAsia" w:cs="Times New Roman"/>
              </w:rPr>
              <w:t>。</w:t>
            </w:r>
          </w:p>
          <w:p>
            <w:pPr>
              <w:jc w:val="center"/>
              <w:rPr>
                <w:rFonts w:eastAsia="黑体" w:cs="Times New Roman"/>
                <w:sz w:val="18"/>
                <w:szCs w:val="18"/>
              </w:rPr>
            </w:pPr>
            <w:r>
              <w:rPr>
                <w:rFonts w:hint="eastAsia" w:eastAsia="黑体" w:cs="Times New Roman"/>
                <w:sz w:val="18"/>
                <w:szCs w:val="18"/>
              </w:rPr>
              <w:t>类比线路可行性分析</w:t>
            </w:r>
          </w:p>
          <w:p>
            <w:pPr>
              <w:rPr>
                <w:rFonts w:eastAsia="黑体" w:cs="Times New Roman"/>
                <w:sz w:val="18"/>
                <w:szCs w:val="18"/>
              </w:rPr>
            </w:pPr>
            <w:r>
              <w:rPr>
                <w:rFonts w:hint="eastAsia" w:eastAsia="黑体" w:cs="Times New Roman"/>
                <w:sz w:val="18"/>
                <w:szCs w:val="18"/>
              </w:rPr>
              <w:t>表</w:t>
            </w:r>
            <w:r>
              <w:rPr>
                <w:rFonts w:eastAsia="黑体" w:cs="Times New Roman"/>
                <w:sz w:val="18"/>
                <w:szCs w:val="18"/>
              </w:rPr>
              <w:t xml:space="preserve">4.10-1  </w:t>
            </w:r>
          </w:p>
          <w:tbl>
            <w:tblPr>
              <w:tblStyle w:val="25"/>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77"/>
              <w:gridCol w:w="3532"/>
              <w:gridCol w:w="3393"/>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2" w:hRule="atLeast"/>
                <w:jc w:val="center"/>
              </w:trPr>
              <w:tc>
                <w:tcPr>
                  <w:tcW w:w="1712" w:type="dxa"/>
                  <w:vMerge w:val="restart"/>
                  <w:vAlign w:val="center"/>
                </w:tcPr>
                <w:p>
                  <w:pPr>
                    <w:jc w:val="center"/>
                    <w:rPr>
                      <w:rFonts w:cs="Times New Roman"/>
                      <w:sz w:val="18"/>
                      <w:szCs w:val="18"/>
                    </w:rPr>
                  </w:pPr>
                  <w:r>
                    <w:rPr>
                      <w:rFonts w:hint="eastAsia" w:cs="Times New Roman"/>
                      <w:sz w:val="18"/>
                      <w:szCs w:val="18"/>
                    </w:rPr>
                    <w:t>类比项目</w:t>
                  </w:r>
                </w:p>
              </w:tc>
              <w:tc>
                <w:tcPr>
                  <w:tcW w:w="3405" w:type="dxa"/>
                  <w:vMerge w:val="restart"/>
                  <w:vAlign w:val="center"/>
                </w:tcPr>
                <w:p>
                  <w:pPr>
                    <w:jc w:val="center"/>
                    <w:rPr>
                      <w:rFonts w:cs="Times New Roman"/>
                      <w:sz w:val="18"/>
                      <w:szCs w:val="18"/>
                    </w:rPr>
                  </w:pPr>
                  <w:r>
                    <w:rPr>
                      <w:rFonts w:hint="eastAsia" w:cs="Times New Roman"/>
                      <w:sz w:val="18"/>
                      <w:szCs w:val="18"/>
                    </w:rPr>
                    <w:t>本项目拟建双回架空线路</w:t>
                  </w:r>
                </w:p>
              </w:tc>
              <w:tc>
                <w:tcPr>
                  <w:tcW w:w="3271" w:type="dxa"/>
                  <w:vAlign w:val="center"/>
                </w:tcPr>
                <w:p>
                  <w:pPr>
                    <w:jc w:val="center"/>
                    <w:rPr>
                      <w:rFonts w:cs="Times New Roman"/>
                      <w:sz w:val="18"/>
                      <w:szCs w:val="18"/>
                    </w:rPr>
                  </w:pPr>
                  <w:r>
                    <w:rPr>
                      <w:rFonts w:hint="eastAsia" w:cs="Times New Roman"/>
                      <w:sz w:val="18"/>
                      <w:szCs w:val="18"/>
                    </w:rPr>
                    <w:t>类比线路</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9" w:hRule="atLeast"/>
                <w:jc w:val="center"/>
              </w:trPr>
              <w:tc>
                <w:tcPr>
                  <w:tcW w:w="1712" w:type="dxa"/>
                  <w:vMerge w:val="continue"/>
                  <w:vAlign w:val="center"/>
                </w:tcPr>
                <w:p>
                  <w:pPr>
                    <w:jc w:val="center"/>
                    <w:rPr>
                      <w:rFonts w:cs="Times New Roman"/>
                      <w:sz w:val="18"/>
                      <w:szCs w:val="18"/>
                    </w:rPr>
                  </w:pPr>
                </w:p>
              </w:tc>
              <w:tc>
                <w:tcPr>
                  <w:tcW w:w="3405" w:type="dxa"/>
                  <w:vMerge w:val="continue"/>
                  <w:vAlign w:val="center"/>
                </w:tcPr>
                <w:p>
                  <w:pPr>
                    <w:jc w:val="center"/>
                    <w:rPr>
                      <w:rFonts w:cs="Times New Roman"/>
                      <w:sz w:val="18"/>
                      <w:szCs w:val="18"/>
                    </w:rPr>
                  </w:pPr>
                </w:p>
              </w:tc>
              <w:tc>
                <w:tcPr>
                  <w:tcW w:w="3271" w:type="dxa"/>
                  <w:vAlign w:val="center"/>
                </w:tcPr>
                <w:p>
                  <w:pPr>
                    <w:jc w:val="center"/>
                    <w:rPr>
                      <w:rFonts w:cs="Times New Roman"/>
                      <w:sz w:val="18"/>
                      <w:szCs w:val="18"/>
                    </w:rPr>
                  </w:pPr>
                  <w:r>
                    <w:rPr>
                      <w:rFonts w:hint="eastAsia" w:cs="Times New Roman"/>
                      <w:sz w:val="18"/>
                      <w:szCs w:val="18"/>
                    </w:rPr>
                    <w:t>110kV民盐1292线20#-22#现有双回架空线路</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9" w:hRule="atLeast"/>
                <w:jc w:val="center"/>
              </w:trPr>
              <w:tc>
                <w:tcPr>
                  <w:tcW w:w="1712" w:type="dxa"/>
                  <w:vAlign w:val="center"/>
                </w:tcPr>
                <w:p>
                  <w:pPr>
                    <w:jc w:val="center"/>
                    <w:rPr>
                      <w:rFonts w:cs="Times New Roman"/>
                      <w:sz w:val="18"/>
                      <w:szCs w:val="18"/>
                    </w:rPr>
                  </w:pPr>
                  <w:r>
                    <w:rPr>
                      <w:rFonts w:hint="eastAsia" w:cs="Times New Roman"/>
                      <w:sz w:val="18"/>
                      <w:szCs w:val="18"/>
                    </w:rPr>
                    <w:t>电压等级</w:t>
                  </w:r>
                </w:p>
              </w:tc>
              <w:tc>
                <w:tcPr>
                  <w:tcW w:w="3405" w:type="dxa"/>
                  <w:vAlign w:val="center"/>
                </w:tcPr>
                <w:p>
                  <w:pPr>
                    <w:jc w:val="center"/>
                    <w:rPr>
                      <w:rFonts w:cs="Times New Roman"/>
                      <w:sz w:val="18"/>
                      <w:szCs w:val="18"/>
                    </w:rPr>
                  </w:pPr>
                  <w:r>
                    <w:rPr>
                      <w:rFonts w:cs="Times New Roman"/>
                      <w:sz w:val="18"/>
                      <w:szCs w:val="18"/>
                    </w:rPr>
                    <w:t>110kV</w:t>
                  </w:r>
                </w:p>
              </w:tc>
              <w:tc>
                <w:tcPr>
                  <w:tcW w:w="3271" w:type="dxa"/>
                  <w:vAlign w:val="center"/>
                </w:tcPr>
                <w:p>
                  <w:pPr>
                    <w:jc w:val="center"/>
                    <w:rPr>
                      <w:rFonts w:cs="Times New Roman"/>
                      <w:sz w:val="18"/>
                      <w:szCs w:val="18"/>
                    </w:rPr>
                  </w:pPr>
                  <w:r>
                    <w:rPr>
                      <w:rFonts w:cs="Times New Roman"/>
                      <w:sz w:val="18"/>
                      <w:szCs w:val="18"/>
                    </w:rPr>
                    <w:t>110kV</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8" w:hRule="atLeast"/>
                <w:jc w:val="center"/>
              </w:trPr>
              <w:tc>
                <w:tcPr>
                  <w:tcW w:w="1712" w:type="dxa"/>
                  <w:vAlign w:val="center"/>
                </w:tcPr>
                <w:p>
                  <w:pPr>
                    <w:jc w:val="center"/>
                    <w:rPr>
                      <w:rFonts w:cs="Times New Roman"/>
                      <w:sz w:val="18"/>
                      <w:szCs w:val="18"/>
                    </w:rPr>
                  </w:pPr>
                  <w:r>
                    <w:rPr>
                      <w:rFonts w:hint="eastAsia" w:cs="Times New Roman"/>
                      <w:sz w:val="18"/>
                      <w:szCs w:val="18"/>
                    </w:rPr>
                    <w:t>导线排列方式</w:t>
                  </w:r>
                </w:p>
              </w:tc>
              <w:tc>
                <w:tcPr>
                  <w:tcW w:w="3405" w:type="dxa"/>
                  <w:vAlign w:val="center"/>
                </w:tcPr>
                <w:p>
                  <w:pPr>
                    <w:jc w:val="center"/>
                    <w:rPr>
                      <w:rFonts w:cs="Times New Roman"/>
                      <w:sz w:val="18"/>
                      <w:szCs w:val="18"/>
                    </w:rPr>
                  </w:pPr>
                  <w:r>
                    <w:rPr>
                      <w:rFonts w:hint="eastAsia" w:cs="Times New Roman"/>
                      <w:sz w:val="18"/>
                      <w:szCs w:val="18"/>
                    </w:rPr>
                    <w:t>垂直排列</w:t>
                  </w:r>
                </w:p>
              </w:tc>
              <w:tc>
                <w:tcPr>
                  <w:tcW w:w="3271" w:type="dxa"/>
                  <w:vAlign w:val="center"/>
                </w:tcPr>
                <w:p>
                  <w:pPr>
                    <w:jc w:val="center"/>
                    <w:rPr>
                      <w:rFonts w:cs="Times New Roman"/>
                      <w:sz w:val="18"/>
                      <w:szCs w:val="18"/>
                    </w:rPr>
                  </w:pPr>
                  <w:r>
                    <w:rPr>
                      <w:rFonts w:hint="eastAsia" w:cs="Times New Roman"/>
                      <w:sz w:val="18"/>
                      <w:szCs w:val="18"/>
                    </w:rPr>
                    <w:t>垂直排列</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9" w:hRule="atLeast"/>
                <w:jc w:val="center"/>
              </w:trPr>
              <w:tc>
                <w:tcPr>
                  <w:tcW w:w="1712" w:type="dxa"/>
                  <w:vAlign w:val="center"/>
                </w:tcPr>
                <w:p>
                  <w:pPr>
                    <w:jc w:val="center"/>
                    <w:rPr>
                      <w:rFonts w:cs="Times New Roman"/>
                      <w:sz w:val="18"/>
                      <w:szCs w:val="18"/>
                    </w:rPr>
                  </w:pPr>
                  <w:r>
                    <w:rPr>
                      <w:rFonts w:hint="eastAsia" w:cs="Times New Roman"/>
                      <w:sz w:val="18"/>
                      <w:szCs w:val="18"/>
                    </w:rPr>
                    <w:t>导线对地距离</w:t>
                  </w:r>
                </w:p>
              </w:tc>
              <w:tc>
                <w:tcPr>
                  <w:tcW w:w="3405" w:type="dxa"/>
                  <w:vAlign w:val="center"/>
                </w:tcPr>
                <w:p>
                  <w:pPr>
                    <w:jc w:val="center"/>
                    <w:rPr>
                      <w:rFonts w:cs="Times New Roman"/>
                      <w:sz w:val="18"/>
                      <w:szCs w:val="18"/>
                    </w:rPr>
                  </w:pPr>
                  <w:r>
                    <w:rPr>
                      <w:rFonts w:cs="Times New Roman"/>
                      <w:sz w:val="18"/>
                      <w:szCs w:val="18"/>
                    </w:rPr>
                    <w:t>41.4</w:t>
                  </w:r>
                  <w:r>
                    <w:rPr>
                      <w:rFonts w:hint="eastAsia" w:cs="Times New Roman"/>
                      <w:sz w:val="18"/>
                      <w:szCs w:val="18"/>
                    </w:rPr>
                    <w:t>m</w:t>
                  </w:r>
                </w:p>
              </w:tc>
              <w:tc>
                <w:tcPr>
                  <w:tcW w:w="3271" w:type="dxa"/>
                  <w:vAlign w:val="center"/>
                </w:tcPr>
                <w:p>
                  <w:pPr>
                    <w:jc w:val="center"/>
                    <w:rPr>
                      <w:rFonts w:cs="Times New Roman"/>
                      <w:sz w:val="18"/>
                      <w:szCs w:val="18"/>
                    </w:rPr>
                  </w:pPr>
                  <w:r>
                    <w:rPr>
                      <w:rFonts w:cs="Times New Roman"/>
                      <w:sz w:val="18"/>
                      <w:szCs w:val="18"/>
                    </w:rPr>
                    <w:t>24.6m</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9" w:hRule="atLeast"/>
                <w:jc w:val="center"/>
              </w:trPr>
              <w:tc>
                <w:tcPr>
                  <w:tcW w:w="1712" w:type="dxa"/>
                  <w:vAlign w:val="center"/>
                </w:tcPr>
                <w:p>
                  <w:pPr>
                    <w:jc w:val="center"/>
                    <w:rPr>
                      <w:rFonts w:cs="Times New Roman"/>
                      <w:sz w:val="18"/>
                      <w:szCs w:val="18"/>
                    </w:rPr>
                  </w:pPr>
                  <w:r>
                    <w:rPr>
                      <w:rFonts w:hint="eastAsia" w:cs="Times New Roman"/>
                      <w:sz w:val="18"/>
                      <w:szCs w:val="18"/>
                    </w:rPr>
                    <w:t>架设回路</w:t>
                  </w:r>
                </w:p>
              </w:tc>
              <w:tc>
                <w:tcPr>
                  <w:tcW w:w="3405" w:type="dxa"/>
                  <w:vAlign w:val="center"/>
                </w:tcPr>
                <w:p>
                  <w:pPr>
                    <w:jc w:val="center"/>
                    <w:rPr>
                      <w:rFonts w:cs="Times New Roman"/>
                      <w:sz w:val="18"/>
                      <w:szCs w:val="18"/>
                    </w:rPr>
                  </w:pPr>
                  <w:r>
                    <w:rPr>
                      <w:rFonts w:hint="eastAsia" w:cs="Times New Roman"/>
                      <w:sz w:val="18"/>
                      <w:szCs w:val="18"/>
                    </w:rPr>
                    <w:t>双回</w:t>
                  </w:r>
                </w:p>
              </w:tc>
              <w:tc>
                <w:tcPr>
                  <w:tcW w:w="3271" w:type="dxa"/>
                  <w:vAlign w:val="center"/>
                </w:tcPr>
                <w:p>
                  <w:pPr>
                    <w:jc w:val="center"/>
                    <w:rPr>
                      <w:rFonts w:cs="Times New Roman"/>
                      <w:sz w:val="18"/>
                      <w:szCs w:val="18"/>
                    </w:rPr>
                  </w:pPr>
                  <w:r>
                    <w:rPr>
                      <w:rFonts w:hint="eastAsia" w:cs="Times New Roman"/>
                      <w:sz w:val="18"/>
                      <w:szCs w:val="18"/>
                    </w:rPr>
                    <w:t>双回</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9" w:hRule="atLeast"/>
                <w:jc w:val="center"/>
              </w:trPr>
              <w:tc>
                <w:tcPr>
                  <w:tcW w:w="1712" w:type="dxa"/>
                  <w:vAlign w:val="center"/>
                </w:tcPr>
                <w:p>
                  <w:pPr>
                    <w:jc w:val="center"/>
                    <w:rPr>
                      <w:rFonts w:cs="Times New Roman"/>
                      <w:sz w:val="18"/>
                      <w:szCs w:val="18"/>
                    </w:rPr>
                  </w:pPr>
                  <w:r>
                    <w:rPr>
                      <w:rFonts w:hint="eastAsia" w:cs="Times New Roman"/>
                      <w:sz w:val="18"/>
                      <w:szCs w:val="18"/>
                    </w:rPr>
                    <w:t>环境条件</w:t>
                  </w:r>
                </w:p>
              </w:tc>
              <w:tc>
                <w:tcPr>
                  <w:tcW w:w="3405" w:type="dxa"/>
                  <w:vAlign w:val="center"/>
                </w:tcPr>
                <w:p>
                  <w:pPr>
                    <w:jc w:val="center"/>
                    <w:rPr>
                      <w:rFonts w:cs="Times New Roman"/>
                      <w:sz w:val="18"/>
                      <w:szCs w:val="18"/>
                    </w:rPr>
                  </w:pPr>
                  <w:r>
                    <w:rPr>
                      <w:rFonts w:hint="eastAsia" w:cs="Times New Roman"/>
                      <w:sz w:val="18"/>
                      <w:szCs w:val="18"/>
                    </w:rPr>
                    <w:t>平地</w:t>
                  </w:r>
                </w:p>
              </w:tc>
              <w:tc>
                <w:tcPr>
                  <w:tcW w:w="3271" w:type="dxa"/>
                  <w:vAlign w:val="center"/>
                </w:tcPr>
                <w:p>
                  <w:pPr>
                    <w:jc w:val="center"/>
                    <w:rPr>
                      <w:rFonts w:cs="Times New Roman"/>
                      <w:sz w:val="18"/>
                      <w:szCs w:val="18"/>
                    </w:rPr>
                  </w:pPr>
                  <w:r>
                    <w:rPr>
                      <w:rFonts w:hint="eastAsia" w:cs="Times New Roman"/>
                      <w:sz w:val="18"/>
                      <w:szCs w:val="18"/>
                    </w:rPr>
                    <w:t>平地</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9" w:hRule="atLeast"/>
                <w:jc w:val="center"/>
              </w:trPr>
              <w:tc>
                <w:tcPr>
                  <w:tcW w:w="1712" w:type="dxa"/>
                  <w:vAlign w:val="center"/>
                </w:tcPr>
                <w:p>
                  <w:pPr>
                    <w:jc w:val="center"/>
                    <w:rPr>
                      <w:rFonts w:cs="Times New Roman"/>
                      <w:sz w:val="18"/>
                      <w:szCs w:val="18"/>
                    </w:rPr>
                  </w:pPr>
                  <w:r>
                    <w:rPr>
                      <w:rFonts w:hint="eastAsia" w:cs="Times New Roman"/>
                      <w:sz w:val="18"/>
                      <w:szCs w:val="18"/>
                    </w:rPr>
                    <w:t>地理位置</w:t>
                  </w:r>
                </w:p>
              </w:tc>
              <w:tc>
                <w:tcPr>
                  <w:tcW w:w="3405" w:type="dxa"/>
                  <w:vAlign w:val="center"/>
                </w:tcPr>
                <w:p>
                  <w:pPr>
                    <w:jc w:val="center"/>
                    <w:rPr>
                      <w:rFonts w:cs="Times New Roman"/>
                      <w:sz w:val="18"/>
                      <w:szCs w:val="18"/>
                    </w:rPr>
                  </w:pPr>
                  <w:r>
                    <w:rPr>
                      <w:rFonts w:hint="eastAsia" w:cs="Times New Roman"/>
                      <w:sz w:val="18"/>
                      <w:szCs w:val="18"/>
                    </w:rPr>
                    <w:t>浙江省海宁市周王庙镇</w:t>
                  </w:r>
                </w:p>
              </w:tc>
              <w:tc>
                <w:tcPr>
                  <w:tcW w:w="3271" w:type="dxa"/>
                  <w:vAlign w:val="center"/>
                </w:tcPr>
                <w:p>
                  <w:pPr>
                    <w:jc w:val="center"/>
                    <w:rPr>
                      <w:rFonts w:cs="Times New Roman"/>
                      <w:sz w:val="18"/>
                      <w:szCs w:val="18"/>
                    </w:rPr>
                  </w:pPr>
                  <w:r>
                    <w:rPr>
                      <w:rFonts w:hint="eastAsia" w:cs="Times New Roman"/>
                      <w:sz w:val="18"/>
                      <w:szCs w:val="18"/>
                    </w:rPr>
                    <w:t>浙江省海宁市周王庙镇</w:t>
                  </w:r>
                </w:p>
              </w:tc>
            </w:tr>
          </w:tbl>
          <w:p>
            <w:pPr>
              <w:pStyle w:val="24"/>
              <w:ind w:firstLine="420"/>
              <w:rPr>
                <w:rFonts w:cs="Times New Roman"/>
              </w:rPr>
            </w:pPr>
            <w:r>
              <w:rPr>
                <w:rFonts w:hint="eastAsia" w:cs="Times New Roman"/>
              </w:rPr>
              <w:t>②类比监测条件及监测工况</w:t>
            </w:r>
          </w:p>
          <w:p>
            <w:pPr>
              <w:pStyle w:val="24"/>
              <w:ind w:firstLine="420"/>
              <w:rPr>
                <w:rFonts w:cs="Times New Roman"/>
              </w:rPr>
            </w:pPr>
            <w:r>
              <w:rPr>
                <w:rFonts w:cs="Times New Roman"/>
              </w:rPr>
              <w:t>2023</w:t>
            </w:r>
            <w:r>
              <w:rPr>
                <w:rFonts w:hint="eastAsia" w:cs="Times New Roman"/>
              </w:rPr>
              <w:t>年</w:t>
            </w:r>
            <w:r>
              <w:rPr>
                <w:rFonts w:cs="Times New Roman"/>
              </w:rPr>
              <w:t>6</w:t>
            </w:r>
            <w:r>
              <w:rPr>
                <w:rFonts w:hint="eastAsia" w:cs="Times New Roman"/>
              </w:rPr>
              <w:t>月</w:t>
            </w:r>
            <w:r>
              <w:rPr>
                <w:rFonts w:cs="Times New Roman"/>
              </w:rPr>
              <w:t>28</w:t>
            </w:r>
            <w:r>
              <w:rPr>
                <w:rFonts w:hint="eastAsia" w:cs="Times New Roman"/>
              </w:rPr>
              <w:t>日，天气晴，气温</w:t>
            </w:r>
            <w:r>
              <w:rPr>
                <w:rFonts w:hint="eastAsia"/>
              </w:rPr>
              <w:t>30~33</w:t>
            </w:r>
            <w:r>
              <w:rPr>
                <w:rFonts w:hint="eastAsia" w:cs="Times New Roman"/>
              </w:rPr>
              <w:t>℃，相对湿度</w:t>
            </w:r>
            <w:r>
              <w:rPr>
                <w:rFonts w:hint="eastAsia"/>
              </w:rPr>
              <w:t>65~67</w:t>
            </w:r>
            <w:r>
              <w:rPr>
                <w:rFonts w:cs="Times New Roman"/>
              </w:rPr>
              <w:t>%</w:t>
            </w:r>
            <w:r>
              <w:rPr>
                <w:rFonts w:hint="eastAsia" w:cs="Times New Roman"/>
              </w:rPr>
              <w:t>，风速</w:t>
            </w:r>
            <w:r>
              <w:rPr>
                <w:rFonts w:hint="eastAsia"/>
              </w:rPr>
              <w:t>0.5~0.8</w:t>
            </w:r>
            <w:r>
              <w:rPr>
                <w:rFonts w:cs="Times New Roman"/>
              </w:rPr>
              <w:t>m/s</w:t>
            </w:r>
            <w:r>
              <w:rPr>
                <w:rFonts w:hint="eastAsia" w:cs="Times New Roman"/>
              </w:rPr>
              <w:t>。</w:t>
            </w:r>
          </w:p>
          <w:p>
            <w:pPr>
              <w:jc w:val="center"/>
              <w:rPr>
                <w:rFonts w:eastAsia="黑体" w:cs="Times New Roman"/>
                <w:sz w:val="18"/>
                <w:szCs w:val="18"/>
              </w:rPr>
            </w:pPr>
            <w:r>
              <w:rPr>
                <w:rFonts w:hint="eastAsia" w:eastAsia="黑体" w:cs="Times New Roman"/>
                <w:sz w:val="18"/>
                <w:szCs w:val="18"/>
              </w:rPr>
              <w:t>监测期间工程运行工况一览表</w:t>
            </w:r>
          </w:p>
          <w:p>
            <w:pPr>
              <w:pStyle w:val="2"/>
              <w:rPr>
                <w:rFonts w:ascii="Times New Roman" w:hAnsi="Times New Roman" w:eastAsia="黑体" w:cs="Times New Roman"/>
                <w:sz w:val="18"/>
                <w:szCs w:val="18"/>
              </w:rPr>
            </w:pPr>
            <w:r>
              <w:rPr>
                <w:rFonts w:hint="eastAsia" w:ascii="Times New Roman" w:hAnsi="Times New Roman" w:eastAsia="黑体" w:cs="Times New Roman"/>
                <w:sz w:val="18"/>
                <w:szCs w:val="18"/>
              </w:rPr>
              <w:t>表</w:t>
            </w:r>
            <w:r>
              <w:rPr>
                <w:rFonts w:ascii="Times New Roman" w:hAnsi="Times New Roman" w:eastAsia="黑体" w:cs="Times New Roman"/>
                <w:sz w:val="18"/>
                <w:szCs w:val="18"/>
              </w:rPr>
              <w:t xml:space="preserve">4.10-2  </w:t>
            </w:r>
          </w:p>
          <w:tbl>
            <w:tblPr>
              <w:tblStyle w:val="25"/>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32"/>
              <w:gridCol w:w="1778"/>
              <w:gridCol w:w="1512"/>
              <w:gridCol w:w="1407"/>
              <w:gridCol w:w="1347"/>
              <w:gridCol w:w="1427"/>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213" w:type="dxa"/>
                  <w:vAlign w:val="center"/>
                </w:tcPr>
                <w:p>
                  <w:pPr>
                    <w:jc w:val="center"/>
                    <w:rPr>
                      <w:rFonts w:cs="Times New Roman"/>
                      <w:sz w:val="18"/>
                      <w:szCs w:val="18"/>
                    </w:rPr>
                  </w:pPr>
                  <w:r>
                    <w:rPr>
                      <w:rFonts w:hint="eastAsia" w:cs="Times New Roman"/>
                      <w:sz w:val="18"/>
                      <w:szCs w:val="18"/>
                    </w:rPr>
                    <w:t>检测时间</w:t>
                  </w:r>
                </w:p>
              </w:tc>
              <w:tc>
                <w:tcPr>
                  <w:tcW w:w="1749" w:type="dxa"/>
                  <w:vAlign w:val="center"/>
                </w:tcPr>
                <w:p>
                  <w:pPr>
                    <w:jc w:val="center"/>
                    <w:rPr>
                      <w:rFonts w:cs="Times New Roman"/>
                      <w:sz w:val="18"/>
                      <w:szCs w:val="18"/>
                    </w:rPr>
                  </w:pPr>
                  <w:r>
                    <w:rPr>
                      <w:rFonts w:hint="eastAsia" w:cs="Times New Roman"/>
                      <w:sz w:val="18"/>
                      <w:szCs w:val="18"/>
                    </w:rPr>
                    <w:t>名称</w:t>
                  </w:r>
                </w:p>
              </w:tc>
              <w:tc>
                <w:tcPr>
                  <w:tcW w:w="1487" w:type="dxa"/>
                  <w:vAlign w:val="center"/>
                </w:tcPr>
                <w:p>
                  <w:pPr>
                    <w:jc w:val="center"/>
                    <w:rPr>
                      <w:rFonts w:cs="Times New Roman"/>
                      <w:sz w:val="18"/>
                      <w:szCs w:val="18"/>
                    </w:rPr>
                  </w:pPr>
                  <w:r>
                    <w:rPr>
                      <w:rFonts w:hint="eastAsia" w:cs="Times New Roman"/>
                      <w:sz w:val="18"/>
                      <w:szCs w:val="18"/>
                    </w:rPr>
                    <w:t>电压（</w:t>
                  </w:r>
                  <w:r>
                    <w:rPr>
                      <w:rFonts w:cs="Times New Roman"/>
                      <w:sz w:val="18"/>
                      <w:szCs w:val="18"/>
                    </w:rPr>
                    <w:t>kV</w:t>
                  </w:r>
                  <w:r>
                    <w:rPr>
                      <w:rFonts w:hint="eastAsia" w:cs="Times New Roman"/>
                      <w:sz w:val="18"/>
                      <w:szCs w:val="18"/>
                    </w:rPr>
                    <w:t>）</w:t>
                  </w:r>
                </w:p>
              </w:tc>
              <w:tc>
                <w:tcPr>
                  <w:tcW w:w="1385" w:type="dxa"/>
                  <w:vAlign w:val="center"/>
                </w:tcPr>
                <w:p>
                  <w:pPr>
                    <w:jc w:val="center"/>
                    <w:rPr>
                      <w:rFonts w:cs="Times New Roman"/>
                      <w:sz w:val="18"/>
                      <w:szCs w:val="18"/>
                    </w:rPr>
                  </w:pPr>
                  <w:r>
                    <w:rPr>
                      <w:rFonts w:hint="eastAsia" w:cs="Times New Roman"/>
                      <w:sz w:val="18"/>
                      <w:szCs w:val="18"/>
                    </w:rPr>
                    <w:t>电流（</w:t>
                  </w:r>
                  <w:r>
                    <w:rPr>
                      <w:rFonts w:cs="Times New Roman"/>
                      <w:sz w:val="18"/>
                      <w:szCs w:val="18"/>
                    </w:rPr>
                    <w:t>A</w:t>
                  </w:r>
                  <w:r>
                    <w:rPr>
                      <w:rFonts w:hint="eastAsia" w:cs="Times New Roman"/>
                      <w:sz w:val="18"/>
                      <w:szCs w:val="18"/>
                    </w:rPr>
                    <w:t>）</w:t>
                  </w:r>
                </w:p>
              </w:tc>
              <w:tc>
                <w:tcPr>
                  <w:tcW w:w="1325" w:type="dxa"/>
                  <w:vAlign w:val="center"/>
                </w:tcPr>
                <w:p>
                  <w:pPr>
                    <w:jc w:val="center"/>
                    <w:rPr>
                      <w:rFonts w:cs="Times New Roman"/>
                      <w:sz w:val="18"/>
                      <w:szCs w:val="18"/>
                    </w:rPr>
                  </w:pPr>
                  <w:r>
                    <w:rPr>
                      <w:rFonts w:hint="eastAsia" w:cs="Times New Roman"/>
                      <w:sz w:val="18"/>
                      <w:szCs w:val="18"/>
                    </w:rPr>
                    <w:t>有功（</w:t>
                  </w:r>
                  <w:r>
                    <w:rPr>
                      <w:rFonts w:cs="Times New Roman"/>
                      <w:sz w:val="18"/>
                      <w:szCs w:val="18"/>
                    </w:rPr>
                    <w:t>MW</w:t>
                  </w:r>
                  <w:r>
                    <w:rPr>
                      <w:rFonts w:hint="eastAsia" w:cs="Times New Roman"/>
                      <w:sz w:val="18"/>
                      <w:szCs w:val="18"/>
                    </w:rPr>
                    <w:t>）</w:t>
                  </w:r>
                </w:p>
              </w:tc>
              <w:tc>
                <w:tcPr>
                  <w:tcW w:w="1404" w:type="dxa"/>
                  <w:vAlign w:val="center"/>
                </w:tcPr>
                <w:p>
                  <w:pPr>
                    <w:jc w:val="center"/>
                    <w:rPr>
                      <w:rFonts w:cs="Times New Roman"/>
                      <w:sz w:val="18"/>
                      <w:szCs w:val="18"/>
                    </w:rPr>
                  </w:pPr>
                  <w:r>
                    <w:rPr>
                      <w:rFonts w:hint="eastAsia" w:cs="Times New Roman"/>
                      <w:sz w:val="18"/>
                      <w:szCs w:val="18"/>
                    </w:rPr>
                    <w:t>无功（</w:t>
                  </w:r>
                  <w:r>
                    <w:rPr>
                      <w:rFonts w:cs="Times New Roman"/>
                      <w:sz w:val="18"/>
                      <w:szCs w:val="18"/>
                    </w:rPr>
                    <w:t>Mvar</w:t>
                  </w:r>
                  <w:r>
                    <w:rPr>
                      <w:rFonts w:hint="eastAsia" w:cs="Times New Roman"/>
                      <w:sz w:val="18"/>
                      <w:szCs w:val="18"/>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213" w:type="dxa"/>
                  <w:vAlign w:val="center"/>
                </w:tcPr>
                <w:p>
                  <w:pPr>
                    <w:jc w:val="center"/>
                    <w:rPr>
                      <w:rFonts w:cs="Times New Roman"/>
                      <w:sz w:val="18"/>
                      <w:szCs w:val="18"/>
                    </w:rPr>
                  </w:pPr>
                  <w:r>
                    <w:rPr>
                      <w:rFonts w:cs="Times New Roman"/>
                      <w:sz w:val="18"/>
                      <w:szCs w:val="18"/>
                    </w:rPr>
                    <w:t>2022.6.28</w:t>
                  </w:r>
                </w:p>
              </w:tc>
              <w:tc>
                <w:tcPr>
                  <w:tcW w:w="1749" w:type="dxa"/>
                  <w:vAlign w:val="center"/>
                </w:tcPr>
                <w:p>
                  <w:pPr>
                    <w:jc w:val="center"/>
                    <w:rPr>
                      <w:rFonts w:cs="Times New Roman"/>
                      <w:sz w:val="18"/>
                      <w:szCs w:val="18"/>
                    </w:rPr>
                  </w:pPr>
                  <w:r>
                    <w:rPr>
                      <w:rFonts w:hint="eastAsia" w:cs="Times New Roman"/>
                      <w:sz w:val="18"/>
                      <w:szCs w:val="18"/>
                    </w:rPr>
                    <w:t>110kV民盐1292线</w:t>
                  </w:r>
                </w:p>
              </w:tc>
              <w:tc>
                <w:tcPr>
                  <w:tcW w:w="1487" w:type="dxa"/>
                  <w:vAlign w:val="center"/>
                </w:tcPr>
                <w:p>
                  <w:pPr>
                    <w:jc w:val="center"/>
                    <w:rPr>
                      <w:rFonts w:cs="Times New Roman"/>
                      <w:sz w:val="18"/>
                      <w:szCs w:val="18"/>
                    </w:rPr>
                  </w:pPr>
                  <w:r>
                    <w:rPr>
                      <w:rFonts w:cs="Times New Roman"/>
                      <w:sz w:val="18"/>
                      <w:szCs w:val="18"/>
                    </w:rPr>
                    <w:t>111.54~114.34</w:t>
                  </w:r>
                </w:p>
              </w:tc>
              <w:tc>
                <w:tcPr>
                  <w:tcW w:w="1385" w:type="dxa"/>
                  <w:vAlign w:val="center"/>
                </w:tcPr>
                <w:p>
                  <w:pPr>
                    <w:jc w:val="center"/>
                    <w:rPr>
                      <w:rFonts w:cs="Times New Roman"/>
                      <w:sz w:val="18"/>
                      <w:szCs w:val="18"/>
                    </w:rPr>
                  </w:pPr>
                  <w:r>
                    <w:rPr>
                      <w:rFonts w:cs="Times New Roman"/>
                      <w:sz w:val="18"/>
                      <w:szCs w:val="18"/>
                    </w:rPr>
                    <w:t>224~237</w:t>
                  </w:r>
                </w:p>
              </w:tc>
              <w:tc>
                <w:tcPr>
                  <w:tcW w:w="1325" w:type="dxa"/>
                  <w:vAlign w:val="center"/>
                </w:tcPr>
                <w:p>
                  <w:pPr>
                    <w:jc w:val="center"/>
                    <w:rPr>
                      <w:rFonts w:cs="Times New Roman"/>
                      <w:sz w:val="18"/>
                      <w:szCs w:val="18"/>
                    </w:rPr>
                  </w:pPr>
                  <w:r>
                    <w:rPr>
                      <w:rFonts w:cs="Times New Roman"/>
                      <w:sz w:val="18"/>
                      <w:szCs w:val="18"/>
                    </w:rPr>
                    <w:t>0</w:t>
                  </w:r>
                </w:p>
              </w:tc>
              <w:tc>
                <w:tcPr>
                  <w:tcW w:w="1404" w:type="dxa"/>
                  <w:vAlign w:val="center"/>
                </w:tcPr>
                <w:p>
                  <w:pPr>
                    <w:jc w:val="center"/>
                    <w:rPr>
                      <w:rFonts w:cs="Times New Roman"/>
                      <w:sz w:val="18"/>
                      <w:szCs w:val="18"/>
                    </w:rPr>
                  </w:pPr>
                  <w:r>
                    <w:rPr>
                      <w:rFonts w:cs="Times New Roman"/>
                      <w:sz w:val="18"/>
                      <w:szCs w:val="18"/>
                    </w:rPr>
                    <w:t>0.43~0.45</w:t>
                  </w:r>
                </w:p>
              </w:tc>
            </w:tr>
          </w:tbl>
          <w:p>
            <w:pPr>
              <w:pStyle w:val="2"/>
              <w:rPr>
                <w:rFonts w:ascii="Times New Roman" w:hAnsi="Times New Roman" w:eastAsia="黑体" w:cs="Times New Roman"/>
                <w:sz w:val="18"/>
                <w:szCs w:val="18"/>
                <w:highlight w:val="yellow"/>
              </w:rPr>
            </w:pPr>
          </w:p>
          <w:p>
            <w:pPr>
              <w:pStyle w:val="24"/>
              <w:ind w:firstLine="420"/>
              <w:rPr>
                <w:rFonts w:cs="Times New Roman"/>
              </w:rPr>
            </w:pPr>
            <w:r>
              <w:rPr>
                <w:rFonts w:hint="eastAsia" w:cs="Times New Roman"/>
              </w:rPr>
              <w:t>③类比监测结果及结论</w:t>
            </w:r>
          </w:p>
          <w:p>
            <w:pPr>
              <w:pStyle w:val="24"/>
              <w:ind w:firstLine="420"/>
              <w:rPr>
                <w:rFonts w:cs="Times New Roman"/>
              </w:rPr>
            </w:pPr>
            <w:r>
              <w:rPr>
                <w:rFonts w:cs="Times New Roman"/>
              </w:rPr>
              <w:t>2023</w:t>
            </w:r>
            <w:r>
              <w:rPr>
                <w:rFonts w:hint="eastAsia" w:cs="Times New Roman"/>
              </w:rPr>
              <w:t>年</w:t>
            </w:r>
            <w:r>
              <w:rPr>
                <w:rFonts w:cs="Times New Roman"/>
              </w:rPr>
              <w:t>6</w:t>
            </w:r>
            <w:r>
              <w:rPr>
                <w:rFonts w:hint="eastAsia" w:cs="Times New Roman"/>
              </w:rPr>
              <w:t>月</w:t>
            </w:r>
            <w:r>
              <w:rPr>
                <w:rFonts w:cs="Times New Roman"/>
              </w:rPr>
              <w:t>28</w:t>
            </w:r>
            <w:r>
              <w:rPr>
                <w:rFonts w:hint="eastAsia" w:cs="Times New Roman"/>
              </w:rPr>
              <w:t>日，</w:t>
            </w:r>
            <w:r>
              <w:rPr>
                <w:rFonts w:hint="eastAsia" w:cs="Times New Roman"/>
                <w:szCs w:val="21"/>
              </w:rPr>
              <w:t>浙江亿达检测技术</w:t>
            </w:r>
            <w:r>
              <w:rPr>
                <w:rFonts w:cs="Times New Roman"/>
                <w:szCs w:val="21"/>
              </w:rPr>
              <w:t>有限公司</w:t>
            </w:r>
            <w:r>
              <w:rPr>
                <w:rFonts w:hint="eastAsia" w:cs="Times New Roman"/>
              </w:rPr>
              <w:t>对本工程拟拆除的</w:t>
            </w:r>
            <w:r>
              <w:rPr>
                <w:rFonts w:cs="Times New Roman"/>
              </w:rPr>
              <w:t>110kV</w:t>
            </w:r>
            <w:r>
              <w:rPr>
                <w:rFonts w:hint="eastAsia" w:cs="Times New Roman"/>
              </w:rPr>
              <w:t>线路周围声环境进行监测，噪声断面监测结果见表</w:t>
            </w:r>
            <w:r>
              <w:rPr>
                <w:rFonts w:cs="Times New Roman"/>
              </w:rPr>
              <w:t>4.10-3</w:t>
            </w:r>
            <w:r>
              <w:rPr>
                <w:rFonts w:hint="eastAsia" w:cs="Times New Roman"/>
              </w:rPr>
              <w:t>。</w:t>
            </w:r>
          </w:p>
          <w:p>
            <w:pPr>
              <w:pStyle w:val="24"/>
              <w:ind w:firstLine="420"/>
              <w:rPr>
                <w:rFonts w:eastAsia="黑体" w:cs="Times New Roman"/>
                <w:bCs/>
                <w:szCs w:val="32"/>
              </w:rPr>
            </w:pPr>
          </w:p>
        </w:tc>
      </w:tr>
    </w:tbl>
    <w:p>
      <w:pPr>
        <w:pStyle w:val="2"/>
        <w:rPr>
          <w:highlight w:val="yellow"/>
        </w:rPr>
        <w:sectPr>
          <w:pgSz w:w="11906" w:h="16838"/>
          <w:pgMar w:top="1418" w:right="1418" w:bottom="1418" w:left="1418" w:header="851" w:footer="992" w:gutter="0"/>
          <w:cols w:space="425" w:num="1"/>
          <w:docGrid w:type="lines" w:linePitch="312" w:charSpace="0"/>
        </w:sect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7"/>
        <w:gridCol w:w="8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9" w:hRule="atLeast"/>
        </w:trPr>
        <w:tc>
          <w:tcPr>
            <w:tcW w:w="507" w:type="dxa"/>
            <w:vAlign w:val="center"/>
          </w:tcPr>
          <w:p>
            <w:pPr>
              <w:spacing w:line="360" w:lineRule="auto"/>
              <w:contextualSpacing/>
              <w:jc w:val="center"/>
              <w:rPr>
                <w:rFonts w:cs="Times New Roman"/>
                <w:snapToGrid w:val="0"/>
                <w:szCs w:val="21"/>
                <w:highlight w:val="yellow"/>
              </w:rPr>
            </w:pPr>
          </w:p>
        </w:tc>
        <w:tc>
          <w:tcPr>
            <w:tcW w:w="8779" w:type="dxa"/>
          </w:tcPr>
          <w:p>
            <w:pPr>
              <w:jc w:val="center"/>
              <w:rPr>
                <w:rFonts w:eastAsia="黑体" w:cs="Times New Roman"/>
                <w:sz w:val="18"/>
                <w:szCs w:val="18"/>
              </w:rPr>
            </w:pPr>
            <w:r>
              <w:rPr>
                <w:rFonts w:hint="eastAsia" w:eastAsia="黑体" w:cs="Times New Roman"/>
                <w:sz w:val="18"/>
                <w:szCs w:val="18"/>
              </w:rPr>
              <w:t>本工程拟拆除的110kV线路周围声环境监测结果</w:t>
            </w:r>
          </w:p>
          <w:p>
            <w:pPr>
              <w:rPr>
                <w:rFonts w:eastAsia="黑体" w:cs="Times New Roman"/>
                <w:sz w:val="18"/>
                <w:szCs w:val="18"/>
              </w:rPr>
            </w:pPr>
            <w:r>
              <w:rPr>
                <w:rFonts w:hint="eastAsia" w:eastAsia="黑体" w:cs="Times New Roman"/>
                <w:sz w:val="18"/>
                <w:szCs w:val="18"/>
              </w:rPr>
              <w:t>表</w:t>
            </w:r>
            <w:r>
              <w:rPr>
                <w:rFonts w:eastAsia="黑体" w:cs="Times New Roman"/>
                <w:sz w:val="18"/>
                <w:szCs w:val="18"/>
              </w:rPr>
              <w:t>4.10-3</w:t>
            </w:r>
          </w:p>
          <w:tbl>
            <w:tblPr>
              <w:tblStyle w:val="25"/>
              <w:tblW w:w="4900"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103"/>
              <w:gridCol w:w="1340"/>
              <w:gridCol w:w="2475"/>
              <w:gridCol w:w="2474"/>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trPr>
              <w:tc>
                <w:tcPr>
                  <w:tcW w:w="3443" w:type="dxa"/>
                  <w:gridSpan w:val="2"/>
                  <w:vAlign w:val="center"/>
                </w:tcPr>
                <w:p>
                  <w:pPr>
                    <w:jc w:val="center"/>
                    <w:rPr>
                      <w:rFonts w:cs="Times New Roman"/>
                      <w:sz w:val="18"/>
                      <w:szCs w:val="18"/>
                    </w:rPr>
                  </w:pPr>
                  <w:r>
                    <w:rPr>
                      <w:rFonts w:hint="eastAsia" w:cs="Times New Roman"/>
                      <w:sz w:val="18"/>
                      <w:szCs w:val="18"/>
                    </w:rPr>
                    <w:t>监测点位描述</w:t>
                  </w:r>
                </w:p>
              </w:tc>
              <w:tc>
                <w:tcPr>
                  <w:tcW w:w="2475" w:type="dxa"/>
                  <w:vAlign w:val="center"/>
                </w:tcPr>
                <w:p>
                  <w:pPr>
                    <w:jc w:val="center"/>
                    <w:rPr>
                      <w:rFonts w:cs="Times New Roman"/>
                      <w:sz w:val="18"/>
                      <w:szCs w:val="18"/>
                    </w:rPr>
                  </w:pPr>
                  <w:r>
                    <w:rPr>
                      <w:rFonts w:hint="eastAsia" w:cs="Times New Roman"/>
                      <w:sz w:val="18"/>
                      <w:szCs w:val="18"/>
                    </w:rPr>
                    <w:t>昼间等效声级（</w:t>
                  </w:r>
                  <w:r>
                    <w:rPr>
                      <w:rFonts w:cs="Times New Roman"/>
                      <w:sz w:val="18"/>
                      <w:szCs w:val="18"/>
                    </w:rPr>
                    <w:t>dB</w:t>
                  </w:r>
                  <w:r>
                    <w:rPr>
                      <w:rFonts w:hint="eastAsia" w:cs="Times New Roman"/>
                      <w:sz w:val="18"/>
                      <w:szCs w:val="18"/>
                    </w:rPr>
                    <w:t>（</w:t>
                  </w:r>
                  <w:r>
                    <w:rPr>
                      <w:rFonts w:cs="Times New Roman"/>
                      <w:sz w:val="18"/>
                      <w:szCs w:val="18"/>
                    </w:rPr>
                    <w:t>A</w:t>
                  </w:r>
                  <w:r>
                    <w:rPr>
                      <w:rFonts w:hint="eastAsia" w:cs="Times New Roman"/>
                      <w:sz w:val="18"/>
                      <w:szCs w:val="18"/>
                    </w:rPr>
                    <w:t>））</w:t>
                  </w:r>
                </w:p>
              </w:tc>
              <w:tc>
                <w:tcPr>
                  <w:tcW w:w="2474" w:type="dxa"/>
                  <w:vAlign w:val="center"/>
                </w:tcPr>
                <w:p>
                  <w:pPr>
                    <w:jc w:val="center"/>
                    <w:rPr>
                      <w:rFonts w:cs="Times New Roman"/>
                      <w:sz w:val="18"/>
                      <w:szCs w:val="18"/>
                    </w:rPr>
                  </w:pPr>
                  <w:r>
                    <w:rPr>
                      <w:rFonts w:hint="eastAsia" w:cs="Times New Roman"/>
                      <w:sz w:val="18"/>
                      <w:szCs w:val="18"/>
                    </w:rPr>
                    <w:t>夜间等效声级（</w:t>
                  </w:r>
                  <w:r>
                    <w:rPr>
                      <w:rFonts w:cs="Times New Roman"/>
                      <w:sz w:val="18"/>
                      <w:szCs w:val="18"/>
                    </w:rPr>
                    <w:t>dB</w:t>
                  </w:r>
                  <w:r>
                    <w:rPr>
                      <w:rFonts w:hint="eastAsia" w:cs="Times New Roman"/>
                      <w:sz w:val="18"/>
                      <w:szCs w:val="18"/>
                    </w:rPr>
                    <w:t>（</w:t>
                  </w:r>
                  <w:r>
                    <w:rPr>
                      <w:rFonts w:cs="Times New Roman"/>
                      <w:sz w:val="18"/>
                      <w:szCs w:val="18"/>
                    </w:rPr>
                    <w:t>A</w:t>
                  </w:r>
                  <w:r>
                    <w:rPr>
                      <w:rFonts w:hint="eastAsia" w:cs="Times New Roman"/>
                      <w:sz w:val="18"/>
                      <w:szCs w:val="18"/>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restart"/>
                  <w:vAlign w:val="center"/>
                </w:tcPr>
                <w:p>
                  <w:pPr>
                    <w:jc w:val="center"/>
                    <w:rPr>
                      <w:rFonts w:cs="Times New Roman"/>
                      <w:sz w:val="18"/>
                      <w:szCs w:val="18"/>
                    </w:rPr>
                  </w:pPr>
                  <w:r>
                    <w:rPr>
                      <w:rFonts w:hint="eastAsia" w:cs="Times New Roman"/>
                      <w:sz w:val="18"/>
                      <w:szCs w:val="18"/>
                    </w:rPr>
                    <w:t>110kV民盐1292线老线路</w:t>
                  </w:r>
                </w:p>
              </w:tc>
              <w:tc>
                <w:tcPr>
                  <w:tcW w:w="1340" w:type="dxa"/>
                  <w:vAlign w:val="center"/>
                </w:tcPr>
                <w:p>
                  <w:pPr>
                    <w:jc w:val="center"/>
                    <w:rPr>
                      <w:rFonts w:cs="Times New Roman"/>
                      <w:sz w:val="18"/>
                      <w:szCs w:val="18"/>
                    </w:rPr>
                  </w:pPr>
                  <w:r>
                    <w:rPr>
                      <w:rFonts w:cs="Times New Roman"/>
                      <w:sz w:val="18"/>
                      <w:szCs w:val="18"/>
                    </w:rPr>
                    <w:t>0m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5.3</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4.4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5m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3.1</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3.3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1"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10m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3.7</w:t>
                  </w:r>
                </w:p>
              </w:tc>
              <w:tc>
                <w:tcPr>
                  <w:tcW w:w="2474" w:type="dxa"/>
                </w:tcPr>
                <w:p>
                  <w:pPr>
                    <w:jc w:val="center"/>
                    <w:rPr>
                      <w:rFonts w:cs="Times New Roman"/>
                      <w:sz w:val="18"/>
                      <w:szCs w:val="18"/>
                    </w:rPr>
                  </w:pPr>
                  <w:r>
                    <w:rPr>
                      <w:rFonts w:hint="eastAsia" w:cs="Times New Roman"/>
                      <w:sz w:val="18"/>
                      <w:szCs w:val="18"/>
                    </w:rPr>
                    <w:t>4</w:t>
                  </w:r>
                  <w:r>
                    <w:rPr>
                      <w:rFonts w:cs="Times New Roman"/>
                      <w:sz w:val="18"/>
                      <w:szCs w:val="18"/>
                    </w:rPr>
                    <w:t>4.2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15m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6.5</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3.3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20m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3.1</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6.8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25m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1.7</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5.0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30m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2.3</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4.1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35m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2.3</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7.5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40m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2.6</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3.9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45m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5.1</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4.1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cs="Times New Roman"/>
                      <w:sz w:val="18"/>
                      <w:szCs w:val="18"/>
                    </w:rPr>
                    <w:t>50m</w:t>
                  </w:r>
                </w:p>
              </w:tc>
              <w:tc>
                <w:tcPr>
                  <w:tcW w:w="2475" w:type="dxa"/>
                  <w:vAlign w:val="center"/>
                </w:tcPr>
                <w:p>
                  <w:pPr>
                    <w:jc w:val="center"/>
                    <w:rPr>
                      <w:rFonts w:cs="Times New Roman"/>
                      <w:sz w:val="18"/>
                      <w:szCs w:val="18"/>
                    </w:rPr>
                  </w:pPr>
                  <w:r>
                    <w:rPr>
                      <w:rFonts w:hint="eastAsia" w:cs="Times New Roman"/>
                      <w:sz w:val="18"/>
                      <w:szCs w:val="18"/>
                    </w:rPr>
                    <w:t>5</w:t>
                  </w:r>
                  <w:r>
                    <w:rPr>
                      <w:rFonts w:cs="Times New Roman"/>
                      <w:sz w:val="18"/>
                      <w:szCs w:val="18"/>
                    </w:rPr>
                    <w:t>2.7</w:t>
                  </w:r>
                </w:p>
              </w:tc>
              <w:tc>
                <w:tcPr>
                  <w:tcW w:w="2474" w:type="dxa"/>
                  <w:vAlign w:val="center"/>
                </w:tcPr>
                <w:p>
                  <w:pPr>
                    <w:jc w:val="center"/>
                    <w:rPr>
                      <w:rFonts w:cs="Times New Roman"/>
                      <w:sz w:val="18"/>
                      <w:szCs w:val="18"/>
                    </w:rPr>
                  </w:pPr>
                  <w:r>
                    <w:rPr>
                      <w:rFonts w:hint="eastAsia" w:cs="Times New Roman"/>
                      <w:sz w:val="18"/>
                      <w:szCs w:val="18"/>
                    </w:rPr>
                    <w:t>4</w:t>
                  </w:r>
                  <w:r>
                    <w:rPr>
                      <w:rFonts w:cs="Times New Roman"/>
                      <w:sz w:val="18"/>
                      <w:szCs w:val="18"/>
                    </w:rPr>
                    <w:t>5.8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trPr>
              <w:tc>
                <w:tcPr>
                  <w:tcW w:w="2103" w:type="dxa"/>
                  <w:vMerge w:val="continue"/>
                  <w:vAlign w:val="center"/>
                </w:tcPr>
                <w:p>
                  <w:pPr>
                    <w:jc w:val="center"/>
                    <w:rPr>
                      <w:rFonts w:cs="Times New Roman"/>
                      <w:sz w:val="18"/>
                      <w:szCs w:val="18"/>
                    </w:rPr>
                  </w:pPr>
                </w:p>
              </w:tc>
              <w:tc>
                <w:tcPr>
                  <w:tcW w:w="1340" w:type="dxa"/>
                  <w:vAlign w:val="center"/>
                </w:tcPr>
                <w:p>
                  <w:pPr>
                    <w:jc w:val="center"/>
                    <w:rPr>
                      <w:rFonts w:cs="Times New Roman"/>
                      <w:sz w:val="18"/>
                      <w:szCs w:val="18"/>
                    </w:rPr>
                  </w:pPr>
                  <w:r>
                    <w:rPr>
                      <w:rFonts w:hint="eastAsia" w:cs="Times New Roman"/>
                      <w:sz w:val="18"/>
                      <w:szCs w:val="21"/>
                    </w:rPr>
                    <w:t>范家埭</w:t>
                  </w:r>
                  <w:r>
                    <w:rPr>
                      <w:rFonts w:cs="Times New Roman"/>
                      <w:sz w:val="18"/>
                      <w:szCs w:val="21"/>
                    </w:rPr>
                    <w:t>39</w:t>
                  </w:r>
                  <w:r>
                    <w:rPr>
                      <w:rFonts w:hint="eastAsia" w:cs="Times New Roman"/>
                      <w:sz w:val="18"/>
                      <w:szCs w:val="21"/>
                    </w:rPr>
                    <w:t>号民房西南侧</w:t>
                  </w:r>
                </w:p>
              </w:tc>
              <w:tc>
                <w:tcPr>
                  <w:tcW w:w="2475" w:type="dxa"/>
                  <w:vAlign w:val="center"/>
                </w:tcPr>
                <w:p>
                  <w:pPr>
                    <w:jc w:val="center"/>
                    <w:rPr>
                      <w:rFonts w:cs="Times New Roman"/>
                      <w:sz w:val="18"/>
                      <w:szCs w:val="18"/>
                    </w:rPr>
                  </w:pPr>
                  <w:r>
                    <w:rPr>
                      <w:rFonts w:cs="Times New Roman"/>
                      <w:sz w:val="18"/>
                      <w:szCs w:val="21"/>
                    </w:rPr>
                    <w:t>55.7</w:t>
                  </w:r>
                </w:p>
              </w:tc>
              <w:tc>
                <w:tcPr>
                  <w:tcW w:w="2474" w:type="dxa"/>
                  <w:vAlign w:val="center"/>
                </w:tcPr>
                <w:p>
                  <w:pPr>
                    <w:jc w:val="center"/>
                    <w:rPr>
                      <w:rFonts w:cs="Times New Roman"/>
                      <w:sz w:val="18"/>
                      <w:szCs w:val="18"/>
                    </w:rPr>
                  </w:pPr>
                  <w:r>
                    <w:rPr>
                      <w:rFonts w:cs="Times New Roman"/>
                      <w:sz w:val="18"/>
                      <w:szCs w:val="21"/>
                    </w:rPr>
                    <w:t>47.0</w:t>
                  </w:r>
                </w:p>
              </w:tc>
            </w:tr>
          </w:tbl>
          <w:p>
            <w:pPr>
              <w:spacing w:line="360" w:lineRule="auto"/>
              <w:ind w:firstLine="420" w:firstLineChars="200"/>
              <w:rPr>
                <w:rFonts w:cs="Times New Roman"/>
                <w:szCs w:val="21"/>
              </w:rPr>
            </w:pPr>
          </w:p>
          <w:p>
            <w:pPr>
              <w:pStyle w:val="24"/>
              <w:ind w:firstLine="420"/>
              <w:rPr>
                <w:rFonts w:cs="Times New Roman"/>
                <w:szCs w:val="24"/>
              </w:rPr>
            </w:pPr>
            <w:r>
              <w:rPr>
                <w:rFonts w:hint="eastAsia" w:cs="Times New Roman"/>
              </w:rPr>
              <w:t>由上述监测结果可知，110kV民盐1292线老线路对地投影外</w:t>
            </w:r>
            <w:r>
              <w:rPr>
                <w:rFonts w:cs="Times New Roman"/>
              </w:rPr>
              <w:t>0~50m</w:t>
            </w:r>
            <w:r>
              <w:rPr>
                <w:rFonts w:hint="eastAsia" w:cs="Times New Roman"/>
              </w:rPr>
              <w:t>内</w:t>
            </w:r>
            <w:r>
              <w:rPr>
                <w:rFonts w:hint="eastAsia" w:cs="Times New Roman"/>
                <w:szCs w:val="21"/>
              </w:rPr>
              <w:t>及敏感点处</w:t>
            </w:r>
            <w:r>
              <w:rPr>
                <w:rFonts w:hint="eastAsia" w:cs="Times New Roman"/>
              </w:rPr>
              <w:t>的昼间噪声监测值为</w:t>
            </w:r>
            <w:r>
              <w:rPr>
                <w:rFonts w:cs="Times New Roman"/>
              </w:rPr>
              <w:t>51.7dB</w:t>
            </w:r>
            <w:r>
              <w:rPr>
                <w:rFonts w:hint="eastAsia" w:cs="Times New Roman"/>
              </w:rPr>
              <w:t>（</w:t>
            </w:r>
            <w:r>
              <w:rPr>
                <w:rFonts w:cs="Times New Roman"/>
              </w:rPr>
              <w:t>A</w:t>
            </w:r>
            <w:r>
              <w:rPr>
                <w:rFonts w:hint="eastAsia" w:cs="Times New Roman"/>
              </w:rPr>
              <w:t>）</w:t>
            </w:r>
            <w:r>
              <w:rPr>
                <w:rFonts w:cs="Times New Roman"/>
              </w:rPr>
              <w:t>~56.5dB</w:t>
            </w:r>
            <w:r>
              <w:rPr>
                <w:rFonts w:hint="eastAsia" w:cs="Times New Roman"/>
              </w:rPr>
              <w:t>（</w:t>
            </w:r>
            <w:r>
              <w:rPr>
                <w:rFonts w:cs="Times New Roman"/>
              </w:rPr>
              <w:t>A</w:t>
            </w:r>
            <w:r>
              <w:rPr>
                <w:rFonts w:hint="eastAsia" w:cs="Times New Roman"/>
              </w:rPr>
              <w:t>），夜间噪声监测值为4</w:t>
            </w:r>
            <w:r>
              <w:rPr>
                <w:rFonts w:cs="Times New Roman"/>
              </w:rPr>
              <w:t>3.3dB</w:t>
            </w:r>
            <w:r>
              <w:rPr>
                <w:rFonts w:hint="eastAsia" w:cs="Times New Roman"/>
              </w:rPr>
              <w:t>（</w:t>
            </w:r>
            <w:r>
              <w:rPr>
                <w:rFonts w:cs="Times New Roman"/>
              </w:rPr>
              <w:t>A</w:t>
            </w:r>
            <w:r>
              <w:rPr>
                <w:rFonts w:hint="eastAsia" w:cs="Times New Roman"/>
              </w:rPr>
              <w:t>）</w:t>
            </w:r>
            <w:r>
              <w:rPr>
                <w:rFonts w:cs="Times New Roman"/>
              </w:rPr>
              <w:t>~47.5dB</w:t>
            </w:r>
            <w:r>
              <w:rPr>
                <w:rFonts w:hint="eastAsia" w:cs="Times New Roman"/>
              </w:rPr>
              <w:t>（</w:t>
            </w:r>
            <w:r>
              <w:rPr>
                <w:rFonts w:cs="Times New Roman"/>
              </w:rPr>
              <w:t>A</w:t>
            </w:r>
            <w:r>
              <w:rPr>
                <w:rFonts w:hint="eastAsia" w:cs="Times New Roman"/>
              </w:rPr>
              <w:t>），线路运行可听噪声对地贡献很小，基本与背景噪声一致。线路周围声环境满足《声环境质量标准》（</w:t>
            </w:r>
            <w:r>
              <w:rPr>
                <w:rFonts w:cs="Times New Roman"/>
              </w:rPr>
              <w:t>GB3096-2008</w:t>
            </w:r>
            <w:r>
              <w:rPr>
                <w:rFonts w:hint="eastAsia" w:cs="Times New Roman"/>
              </w:rPr>
              <w:t>）中</w:t>
            </w:r>
            <w:r>
              <w:rPr>
                <w:rFonts w:cs="Times New Roman"/>
              </w:rPr>
              <w:t>2</w:t>
            </w:r>
            <w:r>
              <w:rPr>
                <w:rFonts w:hint="eastAsia" w:cs="Times New Roman"/>
              </w:rPr>
              <w:t>类标准（昼间</w:t>
            </w:r>
            <w:r>
              <w:rPr>
                <w:rFonts w:cs="Times New Roman"/>
              </w:rPr>
              <w:t>60dB</w:t>
            </w:r>
            <w:r>
              <w:rPr>
                <w:rFonts w:hint="eastAsia" w:cs="Times New Roman"/>
              </w:rPr>
              <w:t>（</w:t>
            </w:r>
            <w:r>
              <w:rPr>
                <w:rFonts w:cs="Times New Roman"/>
              </w:rPr>
              <w:t>A</w:t>
            </w:r>
            <w:r>
              <w:rPr>
                <w:rFonts w:hint="eastAsia" w:cs="Times New Roman"/>
              </w:rPr>
              <w:t>），夜间</w:t>
            </w:r>
            <w:r>
              <w:rPr>
                <w:rFonts w:cs="Times New Roman"/>
              </w:rPr>
              <w:t>50dB</w:t>
            </w:r>
            <w:r>
              <w:rPr>
                <w:rFonts w:hint="eastAsia" w:cs="Times New Roman"/>
              </w:rPr>
              <w:t>（</w:t>
            </w:r>
            <w:r>
              <w:rPr>
                <w:rFonts w:cs="Times New Roman"/>
              </w:rPr>
              <w:t>A</w:t>
            </w:r>
            <w:r>
              <w:rPr>
                <w:rFonts w:hint="eastAsia" w:cs="Times New Roman"/>
              </w:rPr>
              <w:t>））要求。因此，可预测本项目</w:t>
            </w:r>
            <w:r>
              <w:rPr>
                <w:rFonts w:cs="Times New Roman"/>
              </w:rPr>
              <w:t>110kV</w:t>
            </w:r>
            <w:r>
              <w:rPr>
                <w:rFonts w:hint="eastAsia" w:cs="Times New Roman"/>
              </w:rPr>
              <w:t>双回架空线路运行后，线路周边及环境保护目标处的噪声可满足《声环境质量标准》（</w:t>
            </w:r>
            <w:r>
              <w:rPr>
                <w:rFonts w:cs="Times New Roman"/>
              </w:rPr>
              <w:t>GB3096-2008</w:t>
            </w:r>
            <w:r>
              <w:rPr>
                <w:rFonts w:hint="eastAsia" w:cs="Times New Roman"/>
              </w:rPr>
              <w:t>）中相应标准要求。</w:t>
            </w:r>
          </w:p>
          <w:p>
            <w:pPr>
              <w:pStyle w:val="32"/>
              <w:keepLines/>
              <w:numPr>
                <w:ilvl w:val="1"/>
                <w:numId w:val="9"/>
              </w:numPr>
              <w:spacing w:line="360" w:lineRule="auto"/>
              <w:ind w:firstLineChars="0"/>
              <w:outlineLvl w:val="1"/>
              <w:rPr>
                <w:rFonts w:eastAsia="黑体" w:cs="Times New Roman"/>
                <w:bCs/>
                <w:szCs w:val="32"/>
              </w:rPr>
            </w:pPr>
            <w:r>
              <w:rPr>
                <w:rFonts w:eastAsia="黑体" w:cs="Times New Roman"/>
                <w:bCs/>
                <w:szCs w:val="32"/>
              </w:rPr>
              <w:t>地表水环境影响分析</w:t>
            </w:r>
          </w:p>
          <w:p>
            <w:pPr>
              <w:spacing w:line="360" w:lineRule="auto"/>
              <w:ind w:firstLine="420" w:firstLineChars="200"/>
              <w:contextualSpacing/>
              <w:rPr>
                <w:rFonts w:cs="Times New Roman"/>
                <w:szCs w:val="21"/>
              </w:rPr>
            </w:pPr>
            <w:r>
              <w:rPr>
                <w:rFonts w:cs="Times New Roman"/>
                <w:szCs w:val="21"/>
              </w:rPr>
              <w:t>输电线路运行期无废污水产生，不会对附近水环境产生影响。</w:t>
            </w:r>
          </w:p>
          <w:p>
            <w:pPr>
              <w:pStyle w:val="32"/>
              <w:keepLines/>
              <w:numPr>
                <w:ilvl w:val="1"/>
                <w:numId w:val="9"/>
              </w:numPr>
              <w:spacing w:line="360" w:lineRule="auto"/>
              <w:ind w:firstLineChars="0"/>
              <w:outlineLvl w:val="1"/>
              <w:rPr>
                <w:rFonts w:eastAsia="黑体" w:cs="Times New Roman"/>
                <w:bCs/>
                <w:szCs w:val="32"/>
              </w:rPr>
            </w:pPr>
            <w:r>
              <w:rPr>
                <w:rFonts w:eastAsia="黑体" w:cs="Times New Roman"/>
                <w:bCs/>
                <w:szCs w:val="32"/>
              </w:rPr>
              <w:t>固体废物影响分析</w:t>
            </w:r>
          </w:p>
          <w:p>
            <w:pPr>
              <w:spacing w:line="360" w:lineRule="auto"/>
              <w:ind w:firstLine="420" w:firstLineChars="200"/>
              <w:contextualSpacing/>
              <w:rPr>
                <w:rFonts w:cs="Times New Roman"/>
                <w:szCs w:val="21"/>
              </w:rPr>
            </w:pPr>
            <w:r>
              <w:rPr>
                <w:rFonts w:cs="Times New Roman"/>
                <w:szCs w:val="21"/>
              </w:rPr>
              <w:t>输电线路运行期无固体废物产生，不会对外环境产生影响。</w:t>
            </w: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0" w:hRule="atLeast"/>
        </w:trPr>
        <w:tc>
          <w:tcPr>
            <w:tcW w:w="507" w:type="dxa"/>
            <w:vAlign w:val="center"/>
          </w:tcPr>
          <w:p>
            <w:pPr>
              <w:spacing w:line="360" w:lineRule="auto"/>
              <w:jc w:val="center"/>
              <w:rPr>
                <w:rFonts w:cs="Times New Roman"/>
                <w:szCs w:val="21"/>
                <w:highlight w:val="yellow"/>
              </w:rPr>
            </w:pPr>
            <w:r>
              <w:rPr>
                <w:rFonts w:eastAsia="黑体" w:cs="Times New Roman"/>
                <w:bCs/>
                <w:spacing w:val="10"/>
                <w:szCs w:val="21"/>
              </w:rPr>
              <w:t>选址选线环境合理性分析</w:t>
            </w:r>
          </w:p>
        </w:tc>
        <w:tc>
          <w:tcPr>
            <w:tcW w:w="8779" w:type="dxa"/>
          </w:tcPr>
          <w:p>
            <w:pPr>
              <w:spacing w:line="360" w:lineRule="auto"/>
              <w:ind w:firstLine="420" w:firstLineChars="200"/>
              <w:rPr>
                <w:rFonts w:cs="Times New Roman"/>
              </w:rPr>
            </w:pPr>
            <w:r>
              <w:rPr>
                <w:rFonts w:hint="eastAsia" w:cs="Times New Roman"/>
              </w:rPr>
              <w:t>（1）已尽量避让各类环境敏感区</w:t>
            </w:r>
          </w:p>
          <w:p>
            <w:pPr>
              <w:spacing w:line="360" w:lineRule="auto"/>
              <w:ind w:firstLine="420" w:firstLineChars="200"/>
              <w:rPr>
                <w:rFonts w:cs="Times New Roman"/>
              </w:rPr>
            </w:pPr>
            <w:r>
              <w:rPr>
                <w:rFonts w:hint="eastAsia" w:cs="Times New Roman"/>
              </w:rPr>
              <w:t>根据现场调查和相关资料核实，本工程拟建线路评价范围内不涉及《建设项目环境影响评价分类管理名录》（</w:t>
            </w:r>
            <w:r>
              <w:rPr>
                <w:rFonts w:cs="Times New Roman"/>
              </w:rPr>
              <w:t xml:space="preserve">2021 </w:t>
            </w:r>
            <w:r>
              <w:rPr>
                <w:rFonts w:hint="eastAsia" w:cs="Times New Roman"/>
              </w:rPr>
              <w:t>年版）中规定的国家公园、自然保护区、风景名胜区、世界文化和自 然遗产地、海洋特别保护区、饮用水水源保护区等环境敏感区；不涉及《环境影响评价技术导则 生态影响》（</w:t>
            </w:r>
            <w:r>
              <w:rPr>
                <w:rFonts w:cs="Times New Roman"/>
              </w:rPr>
              <w:t>HJ19-2022</w:t>
            </w:r>
            <w:r>
              <w:rPr>
                <w:rFonts w:hint="eastAsia" w:cs="Times New Roman"/>
              </w:rPr>
              <w:t>）中规定的法定生态保护区与、重要生境以及其他具有重要生态功能、对保护生物多样性具有重要意义的区域。</w:t>
            </w:r>
          </w:p>
          <w:p>
            <w:pPr>
              <w:spacing w:line="360" w:lineRule="auto"/>
              <w:ind w:firstLine="420" w:firstLineChars="200"/>
              <w:rPr>
                <w:rFonts w:cs="Times New Roman"/>
              </w:rPr>
            </w:pPr>
            <w:r>
              <w:rPr>
                <w:rFonts w:hint="eastAsia" w:cs="Times New Roman"/>
              </w:rPr>
              <w:t>根据沿线地方政府及相关部门要求，本工程新建线路尽量减少新开辟走廊并避开了居民集中区和城镇规划区，并拆除相关已有11</w:t>
            </w:r>
            <w:r>
              <w:rPr>
                <w:rFonts w:cs="Times New Roman"/>
              </w:rPr>
              <w:t>0kV</w:t>
            </w:r>
            <w:r>
              <w:rPr>
                <w:rFonts w:hint="eastAsia" w:cs="Times New Roman"/>
              </w:rPr>
              <w:t>线路，将较大程度消除或减轻现有线路对邻近环境敏感目标的影响。</w:t>
            </w:r>
          </w:p>
          <w:p>
            <w:pPr>
              <w:spacing w:line="360" w:lineRule="auto"/>
              <w:ind w:firstLine="420" w:firstLineChars="200"/>
              <w:rPr>
                <w:rFonts w:cs="Times New Roman"/>
              </w:rPr>
            </w:pPr>
            <w:r>
              <w:rPr>
                <w:rFonts w:hint="eastAsia" w:cs="Times New Roman"/>
              </w:rPr>
              <w:t>（</w:t>
            </w:r>
            <w:r>
              <w:rPr>
                <w:rFonts w:cs="Times New Roman"/>
              </w:rPr>
              <w:t>2</w:t>
            </w:r>
            <w:r>
              <w:rPr>
                <w:rFonts w:hint="eastAsia" w:cs="Times New Roman"/>
              </w:rPr>
              <w:t>）已征得沿线相关部门路径同意意见</w:t>
            </w:r>
          </w:p>
          <w:p>
            <w:pPr>
              <w:spacing w:line="360" w:lineRule="auto"/>
              <w:ind w:firstLine="420" w:firstLineChars="200"/>
              <w:rPr>
                <w:rFonts w:cs="Times New Roman"/>
              </w:rPr>
            </w:pPr>
            <w:r>
              <w:rPr>
                <w:rFonts w:cs="Times New Roman"/>
              </w:rPr>
              <w:t>本项目架空线路采</w:t>
            </w:r>
            <w:r>
              <w:rPr>
                <w:rFonts w:hint="eastAsia" w:cs="Times New Roman"/>
              </w:rPr>
              <w:t>用</w:t>
            </w:r>
            <w:r>
              <w:rPr>
                <w:rFonts w:cs="Times New Roman"/>
              </w:rPr>
              <w:t>同塔双回平行走线，压缩线路走廊宽度及尽可能减少塔基占地数量，不涉及永久占地，无噪声影响，</w:t>
            </w:r>
            <w:r>
              <w:rPr>
                <w:rFonts w:hint="eastAsia" w:cs="Times New Roman"/>
              </w:rPr>
              <w:t>拆除已退役的1</w:t>
            </w:r>
            <w:r>
              <w:rPr>
                <w:rFonts w:cs="Times New Roman"/>
              </w:rPr>
              <w:t>10</w:t>
            </w:r>
            <w:r>
              <w:rPr>
                <w:rFonts w:hint="eastAsia" w:cs="Times New Roman"/>
              </w:rPr>
              <w:t>k</w:t>
            </w:r>
            <w:r>
              <w:rPr>
                <w:rFonts w:cs="Times New Roman"/>
              </w:rPr>
              <w:t>V</w:t>
            </w:r>
            <w:r>
              <w:rPr>
                <w:rFonts w:hint="eastAsia" w:cs="Times New Roman"/>
              </w:rPr>
              <w:t>架空线路，能有效提升周边景观协调性，</w:t>
            </w:r>
            <w:r>
              <w:rPr>
                <w:rFonts w:cs="Times New Roman"/>
              </w:rPr>
              <w:t>减小了周边的电磁环境影响。</w:t>
            </w:r>
          </w:p>
          <w:p>
            <w:pPr>
              <w:spacing w:line="360" w:lineRule="auto"/>
              <w:ind w:firstLine="420" w:firstLineChars="200"/>
              <w:rPr>
                <w:rFonts w:cs="Times New Roman"/>
              </w:rPr>
            </w:pPr>
            <w:r>
              <w:rPr>
                <w:rFonts w:hint="eastAsia" w:cs="Times New Roman"/>
              </w:rPr>
              <w:t>根据海宁市自然资源和规划局《关于</w:t>
            </w:r>
            <w:r>
              <w:rPr>
                <w:rFonts w:hint="eastAsia" w:cs="Times New Roman"/>
                <w:szCs w:val="21"/>
              </w:rPr>
              <w:t>杭州机场高铁工程涉及输电线路改迁工程</w:t>
            </w:r>
            <w:r>
              <w:rPr>
                <w:rFonts w:cs="Times New Roman"/>
                <w:szCs w:val="21"/>
              </w:rPr>
              <w:t>110kV</w:t>
            </w:r>
            <w:r>
              <w:rPr>
                <w:rFonts w:hint="eastAsia" w:cs="Times New Roman"/>
                <w:szCs w:val="21"/>
              </w:rPr>
              <w:t>民盐</w:t>
            </w:r>
            <w:r>
              <w:rPr>
                <w:rFonts w:cs="Times New Roman"/>
                <w:szCs w:val="21"/>
              </w:rPr>
              <w:t>1292</w:t>
            </w:r>
            <w:r>
              <w:rPr>
                <w:rFonts w:hint="eastAsia" w:cs="Times New Roman"/>
                <w:szCs w:val="21"/>
              </w:rPr>
              <w:t>线</w:t>
            </w:r>
            <w:r>
              <w:rPr>
                <w:rFonts w:cs="Times New Roman"/>
                <w:szCs w:val="21"/>
              </w:rPr>
              <w:t>20#-22#</w:t>
            </w:r>
            <w:r>
              <w:rPr>
                <w:rFonts w:hint="eastAsia" w:cs="Times New Roman"/>
                <w:szCs w:val="21"/>
              </w:rPr>
              <w:t>改迁工程、</w:t>
            </w:r>
            <w:r>
              <w:rPr>
                <w:rFonts w:cs="Times New Roman"/>
                <w:szCs w:val="21"/>
              </w:rPr>
              <w:t>110kV</w:t>
            </w:r>
            <w:r>
              <w:rPr>
                <w:rFonts w:hint="eastAsia" w:cs="Times New Roman"/>
                <w:szCs w:val="21"/>
              </w:rPr>
              <w:t>民斜</w:t>
            </w:r>
            <w:r>
              <w:rPr>
                <w:rFonts w:cs="Times New Roman"/>
                <w:szCs w:val="21"/>
              </w:rPr>
              <w:t>1289</w:t>
            </w:r>
            <w:r>
              <w:rPr>
                <w:rFonts w:hint="eastAsia" w:cs="Times New Roman"/>
                <w:szCs w:val="21"/>
              </w:rPr>
              <w:t>线</w:t>
            </w:r>
            <w:r>
              <w:rPr>
                <w:rFonts w:cs="Times New Roman"/>
                <w:szCs w:val="21"/>
              </w:rPr>
              <w:t>#19-#21</w:t>
            </w:r>
            <w:r>
              <w:rPr>
                <w:rFonts w:hint="eastAsia" w:cs="Times New Roman"/>
                <w:szCs w:val="21"/>
              </w:rPr>
              <w:t>改迁工程路径符合规划的说明</w:t>
            </w:r>
            <w:r>
              <w:rPr>
                <w:rFonts w:hint="eastAsia" w:cs="Times New Roman"/>
              </w:rPr>
              <w:t>》，本工程不涉及新增建设用地，不涉及穿越或占用生态保护红线，线路改迁工程路径符合国土空间规划“三区三线”管制规则，符合控制性详细规划要求。项目已经属地及相关部门论证认可，路径选线方案科学可行。</w:t>
            </w:r>
          </w:p>
          <w:p>
            <w:pPr>
              <w:spacing w:line="360" w:lineRule="auto"/>
              <w:ind w:firstLine="420" w:firstLineChars="200"/>
              <w:rPr>
                <w:rFonts w:cs="Times New Roman"/>
                <w:szCs w:val="21"/>
              </w:rPr>
            </w:pPr>
            <w:r>
              <w:rPr>
                <w:rFonts w:hint="eastAsia" w:cs="Times New Roman"/>
                <w:szCs w:val="21"/>
              </w:rPr>
              <w:t>（</w:t>
            </w:r>
            <w:r>
              <w:rPr>
                <w:rFonts w:cs="Times New Roman"/>
                <w:szCs w:val="21"/>
              </w:rPr>
              <w:t>3</w:t>
            </w:r>
            <w:r>
              <w:rPr>
                <w:rFonts w:hint="eastAsia" w:cs="Times New Roman"/>
                <w:szCs w:val="21"/>
              </w:rPr>
              <w:t xml:space="preserve">）对沿线环境影响满足国家相关标准要求 </w:t>
            </w:r>
          </w:p>
          <w:p>
            <w:pPr>
              <w:spacing w:line="360" w:lineRule="auto"/>
              <w:ind w:firstLine="420" w:firstLineChars="200"/>
              <w:rPr>
                <w:rFonts w:cs="Times New Roman"/>
                <w:szCs w:val="21"/>
              </w:rPr>
            </w:pPr>
            <w:r>
              <w:rPr>
                <w:rFonts w:cs="Times New Roman"/>
              </w:rPr>
              <w:t>本项目为线路工程，且拟建线路较短，不涉及跨越水体，在采取并落实</w:t>
            </w:r>
            <w:r>
              <w:rPr>
                <w:rFonts w:hint="eastAsia" w:cs="Times New Roman"/>
              </w:rPr>
              <w:t>本报告提出的相关施工期及运行期环境保护措施后，项目对周边环境影响较小，</w:t>
            </w:r>
            <w:r>
              <w:rPr>
                <w:rFonts w:cs="Times New Roman"/>
              </w:rPr>
              <w:t>工程建设对沿线生态环境、电磁环境、声环境的影响</w:t>
            </w:r>
            <w:r>
              <w:rPr>
                <w:rFonts w:hint="eastAsia" w:cs="Times New Roman"/>
              </w:rPr>
              <w:t>将</w:t>
            </w:r>
            <w:r>
              <w:rPr>
                <w:rFonts w:cs="Times New Roman"/>
              </w:rPr>
              <w:t>分别满足国家相关标准要求。</w:t>
            </w:r>
          </w:p>
          <w:p>
            <w:pPr>
              <w:spacing w:line="360" w:lineRule="auto"/>
              <w:ind w:firstLine="420" w:firstLineChars="200"/>
              <w:rPr>
                <w:rFonts w:cs="Times New Roman"/>
                <w:szCs w:val="21"/>
              </w:rPr>
            </w:pPr>
            <w:r>
              <w:rPr>
                <w:rFonts w:hint="eastAsia" w:cs="Times New Roman"/>
                <w:szCs w:val="21"/>
              </w:rPr>
              <w:t>综上所述，本工程拟建线路路径选址从环境保护角度分析是合理的。</w:t>
            </w: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p>
            <w:pPr>
              <w:pStyle w:val="2"/>
              <w:rPr>
                <w:highlight w:val="yellow"/>
              </w:rPr>
            </w:pPr>
          </w:p>
        </w:tc>
      </w:tr>
    </w:tbl>
    <w:p>
      <w:pPr>
        <w:pStyle w:val="2"/>
        <w:rPr>
          <w:rFonts w:ascii="Times New Roman" w:hAnsi="Times New Roman" w:cs="Times New Roman"/>
          <w:highlight w:val="yellow"/>
        </w:rPr>
        <w:sectPr>
          <w:pgSz w:w="11906" w:h="16838"/>
          <w:pgMar w:top="1418" w:right="1418" w:bottom="1418" w:left="1418" w:header="851" w:footer="992" w:gutter="0"/>
          <w:cols w:space="425" w:num="1"/>
          <w:docGrid w:type="lines" w:linePitch="312" w:charSpace="0"/>
        </w:sectPr>
      </w:pPr>
    </w:p>
    <w:p>
      <w:pPr>
        <w:keepNext/>
        <w:spacing w:line="0" w:lineRule="atLeast"/>
        <w:jc w:val="center"/>
        <w:outlineLvl w:val="0"/>
        <w:rPr>
          <w:rFonts w:eastAsia="黑体" w:cs="Times New Roman"/>
          <w:bCs/>
          <w:sz w:val="28"/>
          <w:szCs w:val="28"/>
        </w:rPr>
      </w:pPr>
      <w:bookmarkStart w:id="32" w:name="_Toc103786370"/>
      <w:bookmarkStart w:id="33" w:name="_Toc69466522"/>
      <w:r>
        <w:rPr>
          <w:rFonts w:eastAsia="黑体" w:cs="Times New Roman"/>
          <w:bCs/>
          <w:sz w:val="28"/>
          <w:szCs w:val="28"/>
        </w:rPr>
        <w:t>五、主要生态环境保护措施</w:t>
      </w:r>
      <w:bookmarkEnd w:id="32"/>
      <w:bookmarkEnd w:id="33"/>
    </w:p>
    <w:tbl>
      <w:tblPr>
        <w:tblStyle w:val="25"/>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557"/>
        <w:gridCol w:w="86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378" w:hRule="atLeast"/>
          <w:jc w:val="center"/>
        </w:trPr>
        <w:tc>
          <w:tcPr>
            <w:tcW w:w="557" w:type="dxa"/>
            <w:tcMar>
              <w:left w:w="28" w:type="dxa"/>
              <w:right w:w="28" w:type="dxa"/>
            </w:tcMar>
            <w:vAlign w:val="center"/>
          </w:tcPr>
          <w:p>
            <w:pPr>
              <w:adjustRightInd w:val="0"/>
              <w:snapToGrid w:val="0"/>
              <w:jc w:val="center"/>
              <w:rPr>
                <w:rFonts w:eastAsia="黑体" w:cs="Times New Roman"/>
                <w:bCs/>
                <w:spacing w:val="10"/>
                <w:szCs w:val="21"/>
              </w:rPr>
            </w:pPr>
            <w:r>
              <w:rPr>
                <w:rFonts w:eastAsia="黑体" w:cs="Times New Roman"/>
                <w:bCs/>
                <w:spacing w:val="10"/>
                <w:szCs w:val="21"/>
              </w:rPr>
              <w:t>施</w:t>
            </w:r>
          </w:p>
          <w:p>
            <w:pPr>
              <w:adjustRightInd w:val="0"/>
              <w:snapToGrid w:val="0"/>
              <w:jc w:val="center"/>
              <w:rPr>
                <w:rFonts w:eastAsia="黑体" w:cs="Times New Roman"/>
                <w:bCs/>
                <w:spacing w:val="10"/>
                <w:szCs w:val="21"/>
              </w:rPr>
            </w:pPr>
            <w:r>
              <w:rPr>
                <w:rFonts w:eastAsia="黑体" w:cs="Times New Roman"/>
                <w:bCs/>
                <w:spacing w:val="10"/>
                <w:szCs w:val="21"/>
              </w:rPr>
              <w:t>工</w:t>
            </w:r>
          </w:p>
          <w:p>
            <w:pPr>
              <w:adjustRightInd w:val="0"/>
              <w:snapToGrid w:val="0"/>
              <w:jc w:val="center"/>
              <w:rPr>
                <w:rFonts w:eastAsia="黑体" w:cs="Times New Roman"/>
                <w:bCs/>
                <w:spacing w:val="10"/>
                <w:szCs w:val="21"/>
              </w:rPr>
            </w:pPr>
            <w:r>
              <w:rPr>
                <w:rFonts w:eastAsia="黑体" w:cs="Times New Roman"/>
                <w:bCs/>
                <w:spacing w:val="10"/>
                <w:szCs w:val="21"/>
              </w:rPr>
              <w:t>期</w:t>
            </w:r>
          </w:p>
          <w:p>
            <w:pPr>
              <w:adjustRightInd w:val="0"/>
              <w:snapToGrid w:val="0"/>
              <w:jc w:val="center"/>
              <w:rPr>
                <w:rFonts w:eastAsia="黑体" w:cs="Times New Roman"/>
                <w:bCs/>
                <w:spacing w:val="10"/>
                <w:szCs w:val="21"/>
              </w:rPr>
            </w:pPr>
            <w:r>
              <w:rPr>
                <w:rFonts w:eastAsia="黑体" w:cs="Times New Roman"/>
                <w:bCs/>
                <w:spacing w:val="10"/>
                <w:szCs w:val="21"/>
              </w:rPr>
              <w:t>生</w:t>
            </w:r>
          </w:p>
          <w:p>
            <w:pPr>
              <w:adjustRightInd w:val="0"/>
              <w:snapToGrid w:val="0"/>
              <w:jc w:val="center"/>
              <w:rPr>
                <w:rFonts w:eastAsia="黑体" w:cs="Times New Roman"/>
                <w:bCs/>
                <w:spacing w:val="10"/>
                <w:szCs w:val="21"/>
              </w:rPr>
            </w:pPr>
            <w:r>
              <w:rPr>
                <w:rFonts w:eastAsia="黑体" w:cs="Times New Roman"/>
                <w:bCs/>
                <w:spacing w:val="10"/>
                <w:szCs w:val="21"/>
              </w:rPr>
              <w:t>态</w:t>
            </w:r>
          </w:p>
          <w:p>
            <w:pPr>
              <w:adjustRightInd w:val="0"/>
              <w:snapToGrid w:val="0"/>
              <w:jc w:val="center"/>
              <w:rPr>
                <w:rFonts w:eastAsia="黑体" w:cs="Times New Roman"/>
                <w:bCs/>
                <w:spacing w:val="10"/>
                <w:szCs w:val="21"/>
              </w:rPr>
            </w:pPr>
            <w:r>
              <w:rPr>
                <w:rFonts w:eastAsia="黑体" w:cs="Times New Roman"/>
                <w:bCs/>
                <w:spacing w:val="10"/>
                <w:szCs w:val="21"/>
              </w:rPr>
              <w:t>环</w:t>
            </w:r>
          </w:p>
          <w:p>
            <w:pPr>
              <w:adjustRightInd w:val="0"/>
              <w:snapToGrid w:val="0"/>
              <w:jc w:val="center"/>
              <w:rPr>
                <w:rFonts w:eastAsia="黑体" w:cs="Times New Roman"/>
                <w:bCs/>
                <w:spacing w:val="10"/>
                <w:szCs w:val="21"/>
              </w:rPr>
            </w:pPr>
            <w:r>
              <w:rPr>
                <w:rFonts w:eastAsia="黑体" w:cs="Times New Roman"/>
                <w:bCs/>
                <w:spacing w:val="10"/>
                <w:szCs w:val="21"/>
              </w:rPr>
              <w:t>境</w:t>
            </w:r>
          </w:p>
          <w:p>
            <w:pPr>
              <w:adjustRightInd w:val="0"/>
              <w:snapToGrid w:val="0"/>
              <w:jc w:val="center"/>
              <w:rPr>
                <w:rFonts w:eastAsia="黑体" w:cs="Times New Roman"/>
                <w:bCs/>
                <w:spacing w:val="10"/>
                <w:szCs w:val="21"/>
              </w:rPr>
            </w:pPr>
            <w:r>
              <w:rPr>
                <w:rFonts w:eastAsia="黑体" w:cs="Times New Roman"/>
                <w:bCs/>
                <w:spacing w:val="10"/>
                <w:szCs w:val="21"/>
              </w:rPr>
              <w:t>保</w:t>
            </w:r>
          </w:p>
          <w:p>
            <w:pPr>
              <w:adjustRightInd w:val="0"/>
              <w:snapToGrid w:val="0"/>
              <w:jc w:val="center"/>
              <w:rPr>
                <w:rFonts w:eastAsia="黑体" w:cs="Times New Roman"/>
                <w:bCs/>
                <w:spacing w:val="10"/>
                <w:szCs w:val="21"/>
              </w:rPr>
            </w:pPr>
            <w:r>
              <w:rPr>
                <w:rFonts w:eastAsia="黑体" w:cs="Times New Roman"/>
                <w:bCs/>
                <w:spacing w:val="10"/>
                <w:szCs w:val="21"/>
              </w:rPr>
              <w:t>护</w:t>
            </w:r>
          </w:p>
          <w:p>
            <w:pPr>
              <w:adjustRightInd w:val="0"/>
              <w:snapToGrid w:val="0"/>
              <w:jc w:val="center"/>
              <w:rPr>
                <w:rFonts w:eastAsia="黑体" w:cs="Times New Roman"/>
                <w:bCs/>
                <w:spacing w:val="10"/>
                <w:szCs w:val="21"/>
              </w:rPr>
            </w:pPr>
            <w:r>
              <w:rPr>
                <w:rFonts w:eastAsia="黑体" w:cs="Times New Roman"/>
                <w:bCs/>
                <w:spacing w:val="10"/>
                <w:szCs w:val="21"/>
              </w:rPr>
              <w:t>措</w:t>
            </w:r>
          </w:p>
          <w:p>
            <w:pPr>
              <w:adjustRightInd w:val="0"/>
              <w:snapToGrid w:val="0"/>
              <w:jc w:val="center"/>
              <w:rPr>
                <w:rFonts w:eastAsia="黑体" w:cs="Times New Roman"/>
                <w:bCs/>
                <w:szCs w:val="21"/>
                <w:highlight w:val="yellow"/>
              </w:rPr>
            </w:pPr>
            <w:r>
              <w:rPr>
                <w:rFonts w:eastAsia="黑体" w:cs="Times New Roman"/>
                <w:bCs/>
                <w:spacing w:val="10"/>
                <w:szCs w:val="21"/>
              </w:rPr>
              <w:t>施</w:t>
            </w:r>
          </w:p>
        </w:tc>
        <w:tc>
          <w:tcPr>
            <w:tcW w:w="8653" w:type="dxa"/>
          </w:tcPr>
          <w:p>
            <w:pPr>
              <w:pStyle w:val="4"/>
              <w:numPr>
                <w:ilvl w:val="0"/>
                <w:numId w:val="10"/>
              </w:numPr>
              <w:rPr>
                <w:rFonts w:ascii="Times New Roman" w:hAnsi="Times New Roman" w:cs="Times New Roman"/>
              </w:rPr>
            </w:pPr>
            <w:r>
              <w:rPr>
                <w:rFonts w:ascii="Times New Roman" w:hAnsi="Times New Roman" w:cs="Times New Roman"/>
              </w:rPr>
              <w:t xml:space="preserve"> 生态环境保护措施</w:t>
            </w:r>
          </w:p>
          <w:p>
            <w:pPr>
              <w:pStyle w:val="24"/>
              <w:ind w:firstLine="420"/>
              <w:rPr>
                <w:rFonts w:cs="Times New Roman"/>
                <w:snapToGrid w:val="0"/>
                <w:lang w:val="fr-FR"/>
              </w:rPr>
            </w:pPr>
            <w:r>
              <w:rPr>
                <w:rFonts w:cs="Times New Roman"/>
                <w:snapToGrid w:val="0"/>
                <w:lang w:val="fr-FR"/>
              </w:rPr>
              <w:t>① 结合最新勘探资料，选择占地相对较小的塔基基础和杆塔形式；</w:t>
            </w:r>
          </w:p>
          <w:p>
            <w:pPr>
              <w:pStyle w:val="24"/>
              <w:ind w:firstLine="420"/>
              <w:rPr>
                <w:rFonts w:cs="Times New Roman"/>
                <w:snapToGrid w:val="0"/>
                <w:lang w:val="fr-FR"/>
              </w:rPr>
            </w:pPr>
            <w:r>
              <w:rPr>
                <w:rFonts w:cs="Times New Roman"/>
                <w:snapToGrid w:val="0"/>
                <w:lang w:val="fr-FR"/>
              </w:rPr>
              <w:t>② 线路施工时，基础开挖时选用影响较小开挖方式，减少塔基开挖对周边植被的破坏；对施工开挖面及时平整，基础开挖临时堆土应采用临时拦挡措施，用苫布覆盖，回填多余土石方选择合适弃渣点堆放，并采取措施进行防护；</w:t>
            </w:r>
          </w:p>
          <w:p>
            <w:pPr>
              <w:pStyle w:val="24"/>
              <w:ind w:firstLine="420"/>
              <w:rPr>
                <w:rFonts w:cs="Times New Roman"/>
                <w:snapToGrid w:val="0"/>
                <w:lang w:val="fr-FR"/>
              </w:rPr>
            </w:pPr>
            <w:r>
              <w:rPr>
                <w:rFonts w:cs="Times New Roman"/>
                <w:snapToGrid w:val="0"/>
                <w:lang w:val="fr-FR"/>
              </w:rPr>
              <w:t>③ 塔基开挖时，根据施工区的地形需要，在施工区周边设置临时排水沟等措施，避免水土流失；</w:t>
            </w:r>
          </w:p>
          <w:p>
            <w:pPr>
              <w:pStyle w:val="24"/>
              <w:ind w:firstLine="420"/>
              <w:rPr>
                <w:rFonts w:cs="Times New Roman"/>
                <w:snapToGrid w:val="0"/>
                <w:lang w:val="fr-FR"/>
              </w:rPr>
            </w:pPr>
            <w:r>
              <w:rPr>
                <w:rFonts w:cs="Times New Roman"/>
                <w:snapToGrid w:val="0"/>
                <w:lang w:val="fr-FR"/>
              </w:rPr>
              <w:t>④ 施工便道尽量利用现有道路，减少施工临时占地；</w:t>
            </w:r>
          </w:p>
          <w:p>
            <w:pPr>
              <w:pStyle w:val="24"/>
              <w:ind w:firstLine="420"/>
              <w:rPr>
                <w:rFonts w:cs="Times New Roman"/>
                <w:snapToGrid w:val="0"/>
                <w:lang w:val="fr-FR"/>
              </w:rPr>
            </w:pPr>
            <w:r>
              <w:rPr>
                <w:rFonts w:cs="Times New Roman"/>
                <w:snapToGrid w:val="0"/>
                <w:lang w:val="fr-FR"/>
              </w:rPr>
              <w:t>⑤ 对于线路施工临时占地应立即清理，根据其原有土地功能恢复原貌，对于塔基占地区（除塔基基脚外）尽可能采取复垦或植被恢复等措施；</w:t>
            </w:r>
          </w:p>
          <w:p>
            <w:pPr>
              <w:pStyle w:val="24"/>
              <w:ind w:firstLine="420"/>
              <w:rPr>
                <w:rFonts w:cs="Times New Roman"/>
                <w:snapToGrid w:val="0"/>
                <w:lang w:val="fr-FR"/>
              </w:rPr>
            </w:pPr>
            <w:r>
              <w:rPr>
                <w:rFonts w:cs="Times New Roman"/>
                <w:snapToGrid w:val="0"/>
                <w:lang w:val="fr-FR"/>
              </w:rPr>
              <w:t>⑥ 施工结束后，对牵张场等临时占地进行植被恢复</w:t>
            </w:r>
            <w:r>
              <w:rPr>
                <w:rFonts w:hint="eastAsia" w:cs="Times New Roman"/>
                <w:snapToGrid w:val="0"/>
                <w:lang w:val="fr-FR"/>
              </w:rPr>
              <w:t>；</w:t>
            </w:r>
          </w:p>
          <w:p>
            <w:pPr>
              <w:pStyle w:val="24"/>
              <w:ind w:firstLine="420"/>
              <w:rPr>
                <w:rFonts w:cs="Times New Roman"/>
                <w:snapToGrid w:val="0"/>
              </w:rPr>
            </w:pPr>
            <w:r>
              <w:rPr>
                <w:rFonts w:cs="Times New Roman"/>
                <w:snapToGrid w:val="0"/>
              </w:rPr>
              <w:t>⑦ 拆除杆塔应对原塔基基础部分进行破碎清运，对塔基占地进行绿化</w:t>
            </w:r>
            <w:r>
              <w:rPr>
                <w:rFonts w:hint="eastAsia" w:cs="Times New Roman"/>
                <w:snapToGrid w:val="0"/>
              </w:rPr>
              <w:t>或恢复原有用途</w:t>
            </w:r>
            <w:r>
              <w:rPr>
                <w:rFonts w:cs="Times New Roman"/>
                <w:snapToGrid w:val="0"/>
              </w:rPr>
              <w:t>。</w:t>
            </w:r>
          </w:p>
          <w:p>
            <w:pPr>
              <w:pStyle w:val="24"/>
              <w:ind w:firstLine="420"/>
              <w:rPr>
                <w:rFonts w:cs="Times New Roman"/>
                <w:snapToGrid w:val="0"/>
                <w:lang w:val="fr-FR"/>
              </w:rPr>
            </w:pPr>
            <w:r>
              <w:rPr>
                <w:rFonts w:cs="Times New Roman"/>
                <w:snapToGrid w:val="0"/>
                <w:lang w:val="fr-FR"/>
              </w:rPr>
              <w:t>在采取上述</w:t>
            </w:r>
            <w:r>
              <w:rPr>
                <w:rFonts w:cs="Times New Roman"/>
              </w:rPr>
              <w:t>生态环境保护措施</w:t>
            </w:r>
            <w:r>
              <w:rPr>
                <w:rFonts w:cs="Times New Roman"/>
                <w:snapToGrid w:val="0"/>
                <w:lang w:val="fr-FR"/>
              </w:rPr>
              <w:t>后，不会对</w:t>
            </w:r>
            <w:r>
              <w:rPr>
                <w:rFonts w:hint="eastAsia" w:cs="Times New Roman"/>
                <w:snapToGrid w:val="0"/>
              </w:rPr>
              <w:t>工程</w:t>
            </w:r>
            <w:r>
              <w:rPr>
                <w:rFonts w:cs="Times New Roman"/>
                <w:snapToGrid w:val="0"/>
                <w:lang w:val="fr-FR"/>
              </w:rPr>
              <w:t>周围</w:t>
            </w:r>
            <w:r>
              <w:rPr>
                <w:rFonts w:hint="eastAsia" w:cs="Times New Roman"/>
                <w:snapToGrid w:val="0"/>
              </w:rPr>
              <w:t>生态</w:t>
            </w:r>
            <w:r>
              <w:rPr>
                <w:rFonts w:cs="Times New Roman"/>
                <w:snapToGrid w:val="0"/>
                <w:lang w:val="fr-FR"/>
              </w:rPr>
              <w:t>环境造成明显影响。</w:t>
            </w:r>
          </w:p>
          <w:p>
            <w:pPr>
              <w:pStyle w:val="4"/>
              <w:numPr>
                <w:ilvl w:val="1"/>
                <w:numId w:val="11"/>
              </w:numPr>
              <w:rPr>
                <w:rFonts w:ascii="Times New Roman" w:hAnsi="Times New Roman" w:cs="Times New Roman"/>
              </w:rPr>
            </w:pPr>
            <w:r>
              <w:rPr>
                <w:rFonts w:ascii="Times New Roman" w:hAnsi="Times New Roman" w:cs="Times New Roman"/>
              </w:rPr>
              <w:t>声环境保护措施</w:t>
            </w:r>
          </w:p>
          <w:p>
            <w:pPr>
              <w:pStyle w:val="24"/>
              <w:ind w:firstLine="420"/>
              <w:rPr>
                <w:rFonts w:cs="Times New Roman"/>
                <w:snapToGrid w:val="0"/>
                <w:lang w:val="fr-FR"/>
              </w:rPr>
            </w:pPr>
            <w:r>
              <w:rPr>
                <w:rFonts w:cs="Times New Roman"/>
                <w:snapToGrid w:val="0"/>
                <w:lang w:val="fr-FR"/>
              </w:rPr>
              <w:t>（</w:t>
            </w:r>
            <w:r>
              <w:rPr>
                <w:rFonts w:cs="Times New Roman"/>
                <w:snapToGrid w:val="0"/>
              </w:rPr>
              <w:t>1</w:t>
            </w:r>
            <w:r>
              <w:rPr>
                <w:rFonts w:cs="Times New Roman"/>
                <w:snapToGrid w:val="0"/>
                <w:lang w:val="fr-FR"/>
              </w:rPr>
              <w:t>）加强施工期的环境管理工作，并接受生态环境部门监督管理</w:t>
            </w:r>
            <w:r>
              <w:rPr>
                <w:rFonts w:hint="eastAsia" w:cs="Times New Roman"/>
                <w:snapToGrid w:val="0"/>
                <w:lang w:val="fr-FR"/>
              </w:rPr>
              <w:t>。</w:t>
            </w:r>
          </w:p>
          <w:p>
            <w:pPr>
              <w:pStyle w:val="24"/>
              <w:ind w:firstLine="420"/>
              <w:rPr>
                <w:rFonts w:cs="Times New Roman"/>
                <w:snapToGrid w:val="0"/>
                <w:lang w:val="fr-FR"/>
              </w:rPr>
            </w:pPr>
            <w:r>
              <w:rPr>
                <w:rFonts w:cs="Times New Roman"/>
                <w:snapToGrid w:val="0"/>
                <w:lang w:val="fr-FR"/>
              </w:rPr>
              <w:t>（</w:t>
            </w:r>
            <w:r>
              <w:rPr>
                <w:rFonts w:cs="Times New Roman"/>
                <w:snapToGrid w:val="0"/>
              </w:rPr>
              <w:t>2</w:t>
            </w:r>
            <w:r>
              <w:rPr>
                <w:rFonts w:cs="Times New Roman"/>
                <w:snapToGrid w:val="0"/>
                <w:lang w:val="fr-FR"/>
              </w:rPr>
              <w:t>）在设备选型时选用符合国家噪声标准的低噪声施工设备，同时加强施工机械和运输车辆的保养，减小机械故障产生的噪声</w:t>
            </w:r>
            <w:r>
              <w:rPr>
                <w:rFonts w:hint="eastAsia" w:cs="Times New Roman"/>
                <w:snapToGrid w:val="0"/>
                <w:lang w:val="fr-FR"/>
              </w:rPr>
              <w:t>。</w:t>
            </w:r>
          </w:p>
          <w:p>
            <w:pPr>
              <w:pStyle w:val="24"/>
              <w:ind w:firstLine="420"/>
              <w:rPr>
                <w:rFonts w:cs="Times New Roman"/>
                <w:snapToGrid w:val="0"/>
                <w:lang w:val="fr-FR"/>
              </w:rPr>
            </w:pPr>
            <w:r>
              <w:rPr>
                <w:rFonts w:cs="Times New Roman"/>
                <w:snapToGrid w:val="0"/>
                <w:lang w:val="fr-FR"/>
              </w:rPr>
              <w:t>（</w:t>
            </w:r>
            <w:r>
              <w:rPr>
                <w:rFonts w:cs="Times New Roman"/>
                <w:snapToGrid w:val="0"/>
              </w:rPr>
              <w:t>3</w:t>
            </w:r>
            <w:r>
              <w:rPr>
                <w:rFonts w:cs="Times New Roman"/>
                <w:snapToGrid w:val="0"/>
                <w:lang w:val="fr-FR"/>
              </w:rPr>
              <w:t>）施工单位应采用满足国家相应噪声标准的施工机械设备，并在施工场周围设置围栏或围墙以减小施工噪声影响，同时加强对施工机械的维护保养。</w:t>
            </w:r>
          </w:p>
          <w:p>
            <w:pPr>
              <w:pStyle w:val="24"/>
              <w:ind w:firstLine="420"/>
              <w:rPr>
                <w:rFonts w:cs="Times New Roman"/>
                <w:snapToGrid w:val="0"/>
                <w:lang w:val="fr-FR"/>
              </w:rPr>
            </w:pPr>
            <w:r>
              <w:rPr>
                <w:rFonts w:cs="Times New Roman"/>
                <w:snapToGrid w:val="0"/>
                <w:lang w:val="fr-FR"/>
              </w:rPr>
              <w:t>（</w:t>
            </w:r>
            <w:r>
              <w:rPr>
                <w:rFonts w:cs="Times New Roman"/>
                <w:snapToGrid w:val="0"/>
              </w:rPr>
              <w:t>4</w:t>
            </w:r>
            <w:r>
              <w:rPr>
                <w:rFonts w:cs="Times New Roman"/>
                <w:snapToGrid w:val="0"/>
                <w:lang w:val="fr-FR"/>
              </w:rPr>
              <w:t>）施工单位应尽量避免在夜间施工。如因工艺要求必须夜间施工，则应取得工程所在地人民政府或者有关主管部门证明，并公告附近公众。</w:t>
            </w:r>
          </w:p>
          <w:p>
            <w:pPr>
              <w:pStyle w:val="24"/>
              <w:ind w:firstLine="420"/>
              <w:rPr>
                <w:rFonts w:cs="Times New Roman"/>
                <w:snapToGrid w:val="0"/>
                <w:lang w:val="fr-FR"/>
              </w:rPr>
            </w:pPr>
            <w:r>
              <w:rPr>
                <w:rFonts w:cs="Times New Roman"/>
                <w:snapToGrid w:val="0"/>
                <w:lang w:val="fr-FR"/>
              </w:rPr>
              <w:t>（</w:t>
            </w:r>
            <w:r>
              <w:rPr>
                <w:rFonts w:cs="Times New Roman"/>
                <w:snapToGrid w:val="0"/>
              </w:rPr>
              <w:t>5</w:t>
            </w:r>
            <w:r>
              <w:rPr>
                <w:rFonts w:cs="Times New Roman"/>
                <w:snapToGrid w:val="0"/>
                <w:lang w:val="fr-FR"/>
              </w:rPr>
              <w:t>）施工设备合理布局，高噪声设备不集中施工，并相对远离周边敏感目标。</w:t>
            </w:r>
          </w:p>
          <w:p>
            <w:pPr>
              <w:pStyle w:val="24"/>
              <w:ind w:firstLine="420"/>
              <w:rPr>
                <w:rFonts w:cs="Times New Roman"/>
              </w:rPr>
            </w:pPr>
            <w:r>
              <w:rPr>
                <w:rFonts w:cs="Times New Roman"/>
                <w:snapToGrid w:val="0"/>
                <w:lang w:val="fr-FR"/>
              </w:rPr>
              <w:t>通过以上分析，本项目施工期的噪声对周边环境的影响能控制在标准范围之内，不会构成噪声扰民问题，同时，项目工期较短，噪声影响随施工结束后即可消失。</w:t>
            </w:r>
          </w:p>
          <w:p>
            <w:pPr>
              <w:pStyle w:val="4"/>
              <w:numPr>
                <w:ilvl w:val="0"/>
                <w:numId w:val="12"/>
              </w:numPr>
              <w:ind w:left="0" w:firstLine="0"/>
              <w:rPr>
                <w:rFonts w:ascii="Times New Roman" w:hAnsi="Times New Roman" w:cs="Times New Roman"/>
                <w:snapToGrid w:val="0"/>
                <w:lang w:val="fr-FR"/>
              </w:rPr>
            </w:pPr>
            <w:r>
              <w:rPr>
                <w:rFonts w:ascii="Times New Roman" w:hAnsi="Times New Roman" w:cs="Times New Roman"/>
              </w:rPr>
              <w:t>环境空气保护措施</w:t>
            </w:r>
          </w:p>
          <w:p>
            <w:pPr>
              <w:pStyle w:val="24"/>
              <w:ind w:firstLine="420"/>
              <w:rPr>
                <w:rFonts w:cs="Times New Roman"/>
                <w:snapToGrid w:val="0"/>
                <w:lang w:val="fr-FR"/>
              </w:rPr>
            </w:pPr>
            <w:r>
              <w:rPr>
                <w:rFonts w:cs="Times New Roman"/>
                <w:snapToGrid w:val="0"/>
                <w:lang w:val="fr-FR"/>
              </w:rPr>
              <w:t>（</w:t>
            </w:r>
            <w:r>
              <w:rPr>
                <w:rFonts w:hint="eastAsia" w:cs="Times New Roman"/>
                <w:snapToGrid w:val="0"/>
              </w:rPr>
              <w:t>1</w:t>
            </w:r>
            <w:r>
              <w:rPr>
                <w:rFonts w:cs="Times New Roman"/>
                <w:snapToGrid w:val="0"/>
                <w:lang w:val="fr-FR"/>
              </w:rPr>
              <w:t>）施工时在施工现场周围设置临时围栏进行遮挡，合理控制施工作业面积。</w:t>
            </w:r>
          </w:p>
          <w:p>
            <w:pPr>
              <w:pStyle w:val="24"/>
              <w:ind w:firstLine="420"/>
              <w:rPr>
                <w:rFonts w:cs="Times New Roman"/>
                <w:snapToGrid w:val="0"/>
                <w:lang w:val="fr-FR"/>
              </w:rPr>
            </w:pPr>
            <w:r>
              <w:rPr>
                <w:rFonts w:cs="Times New Roman"/>
                <w:snapToGrid w:val="0"/>
                <w:lang w:val="fr-FR"/>
              </w:rPr>
              <w:t>（</w:t>
            </w:r>
            <w:r>
              <w:rPr>
                <w:rFonts w:hint="eastAsia" w:cs="Times New Roman"/>
                <w:snapToGrid w:val="0"/>
              </w:rPr>
              <w:t>2</w:t>
            </w:r>
            <w:r>
              <w:rPr>
                <w:rFonts w:cs="Times New Roman"/>
                <w:snapToGrid w:val="0"/>
                <w:lang w:val="fr-FR"/>
              </w:rPr>
              <w:t>）对进出场地的施工运输车辆进行限速，运输车辆应采用密封、遮盖等防尘措施；对施工道路和施工场地定时洒水、喷淋，避免尘土飞扬。</w:t>
            </w:r>
          </w:p>
          <w:p>
            <w:pPr>
              <w:pStyle w:val="24"/>
              <w:ind w:firstLine="420"/>
              <w:rPr>
                <w:rFonts w:cs="Times New Roman"/>
                <w:snapToGrid w:val="0"/>
                <w:lang w:val="fr-FR"/>
              </w:rPr>
            </w:pPr>
            <w:r>
              <w:rPr>
                <w:rFonts w:cs="Times New Roman"/>
                <w:snapToGrid w:val="0"/>
                <w:lang w:val="fr-FR"/>
              </w:rPr>
              <w:t>（</w:t>
            </w:r>
            <w:r>
              <w:rPr>
                <w:rFonts w:hint="eastAsia" w:cs="Times New Roman"/>
                <w:snapToGrid w:val="0"/>
              </w:rPr>
              <w:t>3</w:t>
            </w:r>
            <w:r>
              <w:rPr>
                <w:rFonts w:cs="Times New Roman"/>
                <w:snapToGrid w:val="0"/>
                <w:lang w:val="fr-FR"/>
              </w:rPr>
              <w:t>）</w:t>
            </w:r>
            <w:r>
              <w:rPr>
                <w:rFonts w:cs="Times New Roman"/>
                <w:snapToGrid w:val="0"/>
              </w:rPr>
              <w:t>尽量</w:t>
            </w:r>
            <w:r>
              <w:rPr>
                <w:rFonts w:cs="Times New Roman"/>
                <w:snapToGrid w:val="0"/>
                <w:lang w:val="fr-FR"/>
              </w:rPr>
              <w:t>使用商品混凝土，减少运输、装卸、搅拌过程中产生的扬尘。</w:t>
            </w:r>
          </w:p>
          <w:p>
            <w:pPr>
              <w:pStyle w:val="24"/>
              <w:ind w:firstLine="420"/>
              <w:rPr>
                <w:rFonts w:cs="Times New Roman"/>
                <w:snapToGrid w:val="0"/>
                <w:highlight w:val="yellow"/>
                <w:lang w:val="fr-FR"/>
              </w:rPr>
            </w:pPr>
            <w:r>
              <w:rPr>
                <w:rFonts w:cs="Times New Roman"/>
                <w:snapToGrid w:val="0"/>
                <w:lang w:val="fr-FR"/>
              </w:rPr>
              <w:t>（</w:t>
            </w:r>
            <w:r>
              <w:rPr>
                <w:rFonts w:hint="eastAsia" w:cs="Times New Roman"/>
                <w:snapToGrid w:val="0"/>
              </w:rPr>
              <w:t>4</w:t>
            </w:r>
            <w:r>
              <w:rPr>
                <w:rFonts w:cs="Times New Roman"/>
                <w:snapToGrid w:val="0"/>
                <w:lang w:val="fr-FR"/>
              </w:rPr>
              <w:t>）在线路塔基开挖时，应对临时堆砌的土方进行合理遮盖，减少大风天气引起的二次扬尘，线路施工完毕后及时进行覆土回填。</w:t>
            </w:r>
          </w:p>
          <w:p>
            <w:pPr>
              <w:pStyle w:val="24"/>
              <w:ind w:firstLine="420"/>
              <w:rPr>
                <w:rFonts w:cs="Times New Roman"/>
                <w:snapToGrid w:val="0"/>
                <w:lang w:val="fr-FR"/>
              </w:rPr>
            </w:pPr>
            <w:r>
              <w:rPr>
                <w:rFonts w:cs="Times New Roman"/>
                <w:snapToGrid w:val="0"/>
                <w:lang w:val="fr-FR"/>
              </w:rPr>
              <w:t>在采取上述扬尘防治措施后，</w:t>
            </w:r>
            <w:r>
              <w:rPr>
                <w:rFonts w:hint="eastAsia" w:cs="Times New Roman"/>
                <w:snapToGrid w:val="0"/>
              </w:rPr>
              <w:t>本项目</w:t>
            </w:r>
            <w:r>
              <w:rPr>
                <w:rFonts w:cs="Times New Roman"/>
                <w:snapToGrid w:val="0"/>
                <w:lang w:val="fr-FR"/>
              </w:rPr>
              <w:t>不会对周围大气环境造成明显影响。</w:t>
            </w:r>
          </w:p>
          <w:p>
            <w:pPr>
              <w:pStyle w:val="4"/>
              <w:numPr>
                <w:ilvl w:val="0"/>
                <w:numId w:val="12"/>
              </w:numPr>
              <w:ind w:left="0" w:firstLine="0"/>
              <w:rPr>
                <w:rFonts w:ascii="Times New Roman" w:hAnsi="Times New Roman" w:cs="Times New Roman"/>
              </w:rPr>
            </w:pPr>
            <w:r>
              <w:rPr>
                <w:rFonts w:ascii="Times New Roman" w:hAnsi="Times New Roman" w:cs="Times New Roman"/>
              </w:rPr>
              <w:t>水环境保护措施</w:t>
            </w:r>
          </w:p>
          <w:p>
            <w:pPr>
              <w:pStyle w:val="24"/>
              <w:ind w:firstLine="420"/>
              <w:rPr>
                <w:rFonts w:cs="Times New Roman"/>
                <w:snapToGrid w:val="0"/>
                <w:lang w:val="fr-FR"/>
              </w:rPr>
            </w:pPr>
            <w:r>
              <w:rPr>
                <w:rFonts w:cs="Times New Roman"/>
                <w:snapToGrid w:val="0"/>
                <w:lang w:val="fr-FR"/>
              </w:rPr>
              <w:t>（</w:t>
            </w:r>
            <w:r>
              <w:rPr>
                <w:rFonts w:hint="eastAsia" w:cs="Times New Roman"/>
                <w:snapToGrid w:val="0"/>
              </w:rPr>
              <w:t>1</w:t>
            </w:r>
            <w:r>
              <w:rPr>
                <w:rFonts w:cs="Times New Roman"/>
                <w:snapToGrid w:val="0"/>
                <w:lang w:val="fr-FR"/>
              </w:rPr>
              <w:t>）输电线路施工人员一般租用当地民房，产生的生活污水纳入当地污水处理系统。</w:t>
            </w:r>
          </w:p>
          <w:p>
            <w:pPr>
              <w:pStyle w:val="24"/>
              <w:ind w:firstLine="420"/>
              <w:rPr>
                <w:rFonts w:cs="Times New Roman"/>
                <w:snapToGrid w:val="0"/>
                <w:lang w:val="fr-FR"/>
              </w:rPr>
            </w:pPr>
            <w:r>
              <w:rPr>
                <w:rFonts w:cs="Times New Roman"/>
                <w:snapToGrid w:val="0"/>
                <w:lang w:val="fr-FR"/>
              </w:rPr>
              <w:t>（</w:t>
            </w:r>
            <w:r>
              <w:rPr>
                <w:rFonts w:hint="eastAsia" w:cs="Times New Roman"/>
                <w:snapToGrid w:val="0"/>
              </w:rPr>
              <w:t>2</w:t>
            </w:r>
            <w:r>
              <w:rPr>
                <w:rFonts w:cs="Times New Roman"/>
                <w:snapToGrid w:val="0"/>
                <w:lang w:val="fr-FR"/>
              </w:rPr>
              <w:t>）施工过程中，合理安排施工计划和施工工序。雨季尽量减少地面坡度，减少开挖面，土料随挖、随运，减少推土裸土的暴露时间，以避免受降雨直接冲刷。</w:t>
            </w:r>
          </w:p>
          <w:p>
            <w:pPr>
              <w:pStyle w:val="24"/>
              <w:ind w:firstLine="420"/>
              <w:rPr>
                <w:rFonts w:cs="Times New Roman"/>
                <w:snapToGrid w:val="0"/>
                <w:lang w:val="fr-FR"/>
              </w:rPr>
            </w:pPr>
            <w:r>
              <w:rPr>
                <w:rFonts w:hint="eastAsia" w:cs="Times New Roman"/>
                <w:snapToGrid w:val="0"/>
                <w:lang w:val="fr-FR"/>
              </w:rPr>
              <w:t>（</w:t>
            </w:r>
            <w:r>
              <w:rPr>
                <w:rFonts w:hint="eastAsia" w:cs="Times New Roman"/>
                <w:snapToGrid w:val="0"/>
              </w:rPr>
              <w:t>3</w:t>
            </w:r>
            <w:r>
              <w:rPr>
                <w:rFonts w:hint="eastAsia" w:cs="Times New Roman"/>
                <w:snapToGrid w:val="0"/>
                <w:lang w:val="fr-FR"/>
              </w:rPr>
              <w:t>）</w:t>
            </w:r>
            <w:r>
              <w:rPr>
                <w:rFonts w:cs="Times New Roman"/>
                <w:szCs w:val="21"/>
              </w:rPr>
              <w:t>输电线路灌注桩基础施工产生的泥浆废水</w:t>
            </w:r>
            <w:r>
              <w:rPr>
                <w:rFonts w:hint="eastAsia" w:cs="Times New Roman"/>
                <w:szCs w:val="21"/>
              </w:rPr>
              <w:t>经泥浆池沉淀后上清液自然蒸发，泥浆干化后回用场地平整。</w:t>
            </w:r>
          </w:p>
          <w:p>
            <w:pPr>
              <w:pStyle w:val="24"/>
              <w:ind w:firstLine="420"/>
              <w:rPr>
                <w:rFonts w:cs="Times New Roman"/>
                <w:snapToGrid w:val="0"/>
                <w:lang w:val="fr-FR"/>
              </w:rPr>
            </w:pPr>
            <w:r>
              <w:rPr>
                <w:rFonts w:hint="eastAsia" w:cs="Times New Roman"/>
                <w:snapToGrid w:val="0"/>
                <w:lang w:val="fr-FR"/>
              </w:rPr>
              <w:t>（</w:t>
            </w:r>
            <w:r>
              <w:rPr>
                <w:rFonts w:hint="eastAsia" w:cs="Times New Roman"/>
                <w:snapToGrid w:val="0"/>
              </w:rPr>
              <w:t>4</w:t>
            </w:r>
            <w:r>
              <w:rPr>
                <w:rFonts w:hint="eastAsia" w:cs="Times New Roman"/>
                <w:snapToGrid w:val="0"/>
                <w:lang w:val="fr-FR"/>
              </w:rPr>
              <w:t>）</w:t>
            </w:r>
            <w:r>
              <w:rPr>
                <w:rFonts w:cs="Times New Roman"/>
                <w:szCs w:val="21"/>
              </w:rPr>
              <w:t>生产废水如机修废水经砼衬砌隔油沉淀池沉淀处理满足《城市污水再生利用 城市杂用水水质》（GB/T 18921-2002）绿化用水标准要求后回用于道路洒水降尘</w:t>
            </w:r>
            <w:r>
              <w:rPr>
                <w:rFonts w:hint="eastAsia" w:cs="Times New Roman"/>
                <w:szCs w:val="21"/>
              </w:rPr>
              <w:t>，严禁施工废水直排入河流</w:t>
            </w:r>
            <w:r>
              <w:rPr>
                <w:rFonts w:cs="Times New Roman"/>
                <w:snapToGrid w:val="0"/>
                <w:lang w:val="fr-FR"/>
              </w:rPr>
              <w:t>。</w:t>
            </w:r>
          </w:p>
          <w:p>
            <w:pPr>
              <w:pStyle w:val="24"/>
              <w:ind w:firstLine="420"/>
              <w:rPr>
                <w:rFonts w:cs="Times New Roman"/>
                <w:snapToGrid w:val="0"/>
                <w:lang w:val="fr-FR"/>
              </w:rPr>
            </w:pPr>
            <w:r>
              <w:rPr>
                <w:rFonts w:cs="Times New Roman"/>
                <w:snapToGrid w:val="0"/>
                <w:lang w:val="fr-FR"/>
              </w:rPr>
              <w:t>（</w:t>
            </w:r>
            <w:r>
              <w:rPr>
                <w:rFonts w:hint="eastAsia" w:cs="Times New Roman"/>
                <w:snapToGrid w:val="0"/>
              </w:rPr>
              <w:t>5</w:t>
            </w:r>
            <w:r>
              <w:rPr>
                <w:rFonts w:cs="Times New Roman"/>
                <w:snapToGrid w:val="0"/>
                <w:lang w:val="fr-FR"/>
              </w:rPr>
              <w:t>）</w:t>
            </w:r>
            <w:r>
              <w:rPr>
                <w:rFonts w:cs="Times New Roman"/>
                <w:snapToGrid w:val="0"/>
              </w:rPr>
              <w:t>线路施工时</w:t>
            </w:r>
            <w:r>
              <w:rPr>
                <w:rFonts w:cs="Times New Roman"/>
                <w:snapToGrid w:val="0"/>
                <w:lang w:val="fr-FR"/>
              </w:rPr>
              <w:t>严禁漏油施工车辆和机械进入河流附近，严禁在河流附近清洗施工车辆和机械。</w:t>
            </w:r>
          </w:p>
          <w:p>
            <w:pPr>
              <w:pStyle w:val="24"/>
              <w:ind w:firstLine="420"/>
              <w:rPr>
                <w:rFonts w:cs="Times New Roman"/>
                <w:snapToGrid w:val="0"/>
                <w:lang w:val="fr-FR"/>
              </w:rPr>
            </w:pPr>
            <w:r>
              <w:rPr>
                <w:rFonts w:cs="Times New Roman"/>
                <w:snapToGrid w:val="0"/>
                <w:lang w:val="fr-FR"/>
              </w:rPr>
              <w:t>在采取上述水环境保护措施后，</w:t>
            </w:r>
            <w:r>
              <w:rPr>
                <w:rFonts w:hint="eastAsia" w:cs="Times New Roman"/>
                <w:snapToGrid w:val="0"/>
              </w:rPr>
              <w:t>本项目</w:t>
            </w:r>
            <w:r>
              <w:rPr>
                <w:rFonts w:cs="Times New Roman"/>
                <w:snapToGrid w:val="0"/>
                <w:lang w:val="fr-FR"/>
              </w:rPr>
              <w:t>不会对周围</w:t>
            </w:r>
            <w:r>
              <w:rPr>
                <w:rFonts w:hint="eastAsia" w:cs="Times New Roman"/>
                <w:snapToGrid w:val="0"/>
              </w:rPr>
              <w:t>水</w:t>
            </w:r>
            <w:r>
              <w:rPr>
                <w:rFonts w:cs="Times New Roman"/>
                <w:snapToGrid w:val="0"/>
                <w:lang w:val="fr-FR"/>
              </w:rPr>
              <w:t>环境造成明显影响</w:t>
            </w:r>
            <w:r>
              <w:rPr>
                <w:rFonts w:hint="eastAsia" w:cs="Times New Roman"/>
                <w:snapToGrid w:val="0"/>
                <w:lang w:val="fr-FR"/>
              </w:rPr>
              <w:t>。</w:t>
            </w:r>
          </w:p>
          <w:p>
            <w:pPr>
              <w:pStyle w:val="4"/>
              <w:numPr>
                <w:ilvl w:val="0"/>
                <w:numId w:val="12"/>
              </w:numPr>
              <w:ind w:left="0" w:firstLine="0"/>
              <w:rPr>
                <w:rFonts w:ascii="Times New Roman" w:hAnsi="Times New Roman" w:cs="Times New Roman"/>
              </w:rPr>
            </w:pPr>
            <w:r>
              <w:rPr>
                <w:rFonts w:ascii="Times New Roman" w:hAnsi="Times New Roman" w:cs="Times New Roman"/>
              </w:rPr>
              <w:t>固体废弃物处置措施</w:t>
            </w:r>
          </w:p>
          <w:p>
            <w:pPr>
              <w:pStyle w:val="24"/>
              <w:ind w:firstLine="420"/>
              <w:rPr>
                <w:rFonts w:cs="Times New Roman"/>
              </w:rPr>
            </w:pPr>
            <w:r>
              <w:rPr>
                <w:rFonts w:hint="eastAsia" w:cs="Times New Roman"/>
              </w:rPr>
              <w:t>（1）</w:t>
            </w:r>
            <w:r>
              <w:rPr>
                <w:rFonts w:cs="Times New Roman"/>
              </w:rPr>
              <w:t>施工人员租用当地民房，产生的少量生活垃圾可纳入当地生活垃圾收集处理系统</w:t>
            </w:r>
            <w:r>
              <w:rPr>
                <w:rFonts w:hint="eastAsia" w:cs="Times New Roman"/>
              </w:rPr>
              <w:t>。</w:t>
            </w:r>
          </w:p>
          <w:p>
            <w:pPr>
              <w:pStyle w:val="24"/>
              <w:ind w:firstLine="420"/>
              <w:rPr>
                <w:rFonts w:cs="Times New Roman"/>
              </w:rPr>
            </w:pPr>
            <w:r>
              <w:rPr>
                <w:rFonts w:cs="Times New Roman"/>
                <w:snapToGrid w:val="0"/>
                <w:lang w:val="fr-FR"/>
              </w:rPr>
              <w:t>（</w:t>
            </w:r>
            <w:r>
              <w:rPr>
                <w:rFonts w:hint="eastAsia" w:cs="Times New Roman"/>
                <w:snapToGrid w:val="0"/>
              </w:rPr>
              <w:t>2</w:t>
            </w:r>
            <w:r>
              <w:rPr>
                <w:rFonts w:cs="Times New Roman"/>
                <w:snapToGrid w:val="0"/>
                <w:lang w:val="fr-FR"/>
              </w:rPr>
              <w:t>）</w:t>
            </w:r>
            <w:r>
              <w:rPr>
                <w:rFonts w:cs="Times New Roman"/>
              </w:rPr>
              <w:t>线路路径长度较短，塔基</w:t>
            </w:r>
            <w:r>
              <w:rPr>
                <w:rFonts w:hint="eastAsia" w:cs="Times New Roman"/>
              </w:rPr>
              <w:t>基础开挖</w:t>
            </w:r>
            <w:r>
              <w:rPr>
                <w:rFonts w:cs="Times New Roman"/>
              </w:rPr>
              <w:t>时产生的土石方及时回填严实，施工结束后进行绿化</w:t>
            </w:r>
            <w:r>
              <w:rPr>
                <w:rFonts w:hint="eastAsia" w:cs="Times New Roman"/>
              </w:rPr>
              <w:t>。</w:t>
            </w:r>
          </w:p>
          <w:p>
            <w:pPr>
              <w:pStyle w:val="24"/>
              <w:ind w:firstLine="420"/>
              <w:rPr>
                <w:rFonts w:cs="Times New Roman"/>
              </w:rPr>
            </w:pPr>
            <w:r>
              <w:rPr>
                <w:rFonts w:cs="Times New Roman"/>
                <w:snapToGrid w:val="0"/>
                <w:lang w:val="fr-FR"/>
              </w:rPr>
              <w:t>（</w:t>
            </w:r>
            <w:r>
              <w:rPr>
                <w:rFonts w:hint="eastAsia" w:cs="Times New Roman"/>
                <w:snapToGrid w:val="0"/>
              </w:rPr>
              <w:t>3</w:t>
            </w:r>
            <w:r>
              <w:rPr>
                <w:rFonts w:cs="Times New Roman"/>
                <w:snapToGrid w:val="0"/>
                <w:lang w:val="fr-FR"/>
              </w:rPr>
              <w:t>）</w:t>
            </w:r>
            <w:r>
              <w:rPr>
                <w:rFonts w:cs="Times New Roman"/>
              </w:rPr>
              <w:t>本</w:t>
            </w:r>
            <w:r>
              <w:rPr>
                <w:rFonts w:hint="eastAsia" w:cs="Times New Roman"/>
              </w:rPr>
              <w:t>项目</w:t>
            </w:r>
            <w:r>
              <w:rPr>
                <w:rFonts w:cs="Times New Roman"/>
              </w:rPr>
              <w:t>拆除施工产生的建筑垃圾主要为拆除产生的导、地线等电气设备，建筑垃圾统一交由建设单位物资部门回收处理，不得随意丢弃。</w:t>
            </w:r>
          </w:p>
          <w:p>
            <w:pPr>
              <w:pStyle w:val="4"/>
              <w:numPr>
                <w:ilvl w:val="0"/>
                <w:numId w:val="12"/>
              </w:numPr>
              <w:ind w:left="0" w:firstLine="0"/>
              <w:rPr>
                <w:rFonts w:ascii="Times New Roman" w:hAnsi="Times New Roman" w:cs="Times New Roman"/>
              </w:rPr>
            </w:pPr>
            <w:r>
              <w:rPr>
                <w:rFonts w:ascii="Times New Roman" w:hAnsi="Times New Roman" w:cs="Times New Roman"/>
              </w:rPr>
              <w:t>施工期环保措施责任单位及实施效果</w:t>
            </w:r>
          </w:p>
          <w:p>
            <w:pPr>
              <w:pStyle w:val="24"/>
              <w:ind w:firstLine="420"/>
              <w:rPr>
                <w:rFonts w:cs="Times New Roman"/>
              </w:rPr>
            </w:pPr>
            <w:r>
              <w:rPr>
                <w:rFonts w:cs="Times New Roman"/>
              </w:rPr>
              <w:t>本项目施工期采用的生态环境保护措施和大气、地表水、噪声、固废污染防治措施的责任主体为施工单位，建设单位具体负责监督，确保措施有效落实。经分析，以上措施具有技术可行性、经济合理性、运行稳定性、生态保护的可达性，在认真落实各项污染防治措施后，本项目施工期对生态、大气、地表水、声环境影响较小，固体废弃物能妥善处理，对周围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839" w:hRule="atLeast"/>
          <w:jc w:val="center"/>
        </w:trPr>
        <w:tc>
          <w:tcPr>
            <w:tcW w:w="557" w:type="dxa"/>
            <w:tcMar>
              <w:left w:w="28" w:type="dxa"/>
              <w:right w:w="28" w:type="dxa"/>
            </w:tcMar>
            <w:vAlign w:val="center"/>
          </w:tcPr>
          <w:p>
            <w:pPr>
              <w:adjustRightInd w:val="0"/>
              <w:snapToGrid w:val="0"/>
              <w:jc w:val="center"/>
              <w:rPr>
                <w:rFonts w:eastAsia="黑体" w:cs="Times New Roman"/>
                <w:bCs/>
                <w:spacing w:val="10"/>
              </w:rPr>
            </w:pPr>
            <w:r>
              <w:rPr>
                <w:rFonts w:eastAsia="黑体" w:cs="Times New Roman"/>
                <w:bCs/>
                <w:spacing w:val="10"/>
              </w:rPr>
              <w:t>运</w:t>
            </w:r>
          </w:p>
          <w:p>
            <w:pPr>
              <w:adjustRightInd w:val="0"/>
              <w:snapToGrid w:val="0"/>
              <w:jc w:val="center"/>
              <w:rPr>
                <w:rFonts w:eastAsia="黑体" w:cs="Times New Roman"/>
                <w:bCs/>
                <w:spacing w:val="10"/>
              </w:rPr>
            </w:pPr>
            <w:r>
              <w:rPr>
                <w:rFonts w:eastAsia="黑体" w:cs="Times New Roman"/>
                <w:bCs/>
                <w:spacing w:val="10"/>
              </w:rPr>
              <w:t>营</w:t>
            </w:r>
          </w:p>
          <w:p>
            <w:pPr>
              <w:adjustRightInd w:val="0"/>
              <w:snapToGrid w:val="0"/>
              <w:jc w:val="center"/>
              <w:rPr>
                <w:rFonts w:eastAsia="黑体" w:cs="Times New Roman"/>
                <w:bCs/>
                <w:spacing w:val="10"/>
              </w:rPr>
            </w:pPr>
            <w:r>
              <w:rPr>
                <w:rFonts w:eastAsia="黑体" w:cs="Times New Roman"/>
                <w:bCs/>
                <w:spacing w:val="10"/>
              </w:rPr>
              <w:t>期</w:t>
            </w:r>
          </w:p>
          <w:p>
            <w:pPr>
              <w:adjustRightInd w:val="0"/>
              <w:snapToGrid w:val="0"/>
              <w:jc w:val="center"/>
              <w:rPr>
                <w:rFonts w:eastAsia="黑体" w:cs="Times New Roman"/>
                <w:bCs/>
                <w:spacing w:val="10"/>
              </w:rPr>
            </w:pPr>
            <w:r>
              <w:rPr>
                <w:rFonts w:eastAsia="黑体" w:cs="Times New Roman"/>
                <w:bCs/>
                <w:spacing w:val="10"/>
              </w:rPr>
              <w:t>生</w:t>
            </w:r>
          </w:p>
          <w:p>
            <w:pPr>
              <w:adjustRightInd w:val="0"/>
              <w:snapToGrid w:val="0"/>
              <w:jc w:val="center"/>
              <w:rPr>
                <w:rFonts w:eastAsia="黑体" w:cs="Times New Roman"/>
                <w:bCs/>
                <w:spacing w:val="10"/>
              </w:rPr>
            </w:pPr>
            <w:r>
              <w:rPr>
                <w:rFonts w:eastAsia="黑体" w:cs="Times New Roman"/>
                <w:bCs/>
                <w:spacing w:val="10"/>
              </w:rPr>
              <w:t>态</w:t>
            </w:r>
          </w:p>
          <w:p>
            <w:pPr>
              <w:adjustRightInd w:val="0"/>
              <w:snapToGrid w:val="0"/>
              <w:jc w:val="center"/>
              <w:rPr>
                <w:rFonts w:eastAsia="黑体" w:cs="Times New Roman"/>
                <w:bCs/>
                <w:spacing w:val="10"/>
              </w:rPr>
            </w:pPr>
            <w:r>
              <w:rPr>
                <w:rFonts w:eastAsia="黑体" w:cs="Times New Roman"/>
                <w:bCs/>
                <w:spacing w:val="10"/>
              </w:rPr>
              <w:t>环</w:t>
            </w:r>
          </w:p>
          <w:p>
            <w:pPr>
              <w:adjustRightInd w:val="0"/>
              <w:snapToGrid w:val="0"/>
              <w:jc w:val="center"/>
              <w:rPr>
                <w:rFonts w:eastAsia="黑体" w:cs="Times New Roman"/>
                <w:bCs/>
                <w:spacing w:val="10"/>
              </w:rPr>
            </w:pPr>
            <w:r>
              <w:rPr>
                <w:rFonts w:eastAsia="黑体" w:cs="Times New Roman"/>
                <w:bCs/>
                <w:spacing w:val="10"/>
              </w:rPr>
              <w:t>境</w:t>
            </w:r>
          </w:p>
          <w:p>
            <w:pPr>
              <w:adjustRightInd w:val="0"/>
              <w:snapToGrid w:val="0"/>
              <w:jc w:val="center"/>
              <w:rPr>
                <w:rFonts w:eastAsia="黑体" w:cs="Times New Roman"/>
                <w:bCs/>
                <w:spacing w:val="10"/>
              </w:rPr>
            </w:pPr>
            <w:r>
              <w:rPr>
                <w:rFonts w:eastAsia="黑体" w:cs="Times New Roman"/>
                <w:bCs/>
                <w:spacing w:val="10"/>
              </w:rPr>
              <w:t>保</w:t>
            </w:r>
          </w:p>
          <w:p>
            <w:pPr>
              <w:adjustRightInd w:val="0"/>
              <w:snapToGrid w:val="0"/>
              <w:jc w:val="center"/>
              <w:rPr>
                <w:rFonts w:eastAsia="黑体" w:cs="Times New Roman"/>
                <w:bCs/>
                <w:spacing w:val="10"/>
              </w:rPr>
            </w:pPr>
            <w:r>
              <w:rPr>
                <w:rFonts w:eastAsia="黑体" w:cs="Times New Roman"/>
                <w:bCs/>
                <w:spacing w:val="10"/>
              </w:rPr>
              <w:t>护</w:t>
            </w:r>
          </w:p>
          <w:p>
            <w:pPr>
              <w:adjustRightInd w:val="0"/>
              <w:snapToGrid w:val="0"/>
              <w:jc w:val="center"/>
              <w:rPr>
                <w:rFonts w:eastAsia="黑体" w:cs="Times New Roman"/>
                <w:bCs/>
                <w:spacing w:val="10"/>
              </w:rPr>
            </w:pPr>
            <w:r>
              <w:rPr>
                <w:rFonts w:eastAsia="黑体" w:cs="Times New Roman"/>
                <w:bCs/>
                <w:spacing w:val="10"/>
              </w:rPr>
              <w:t>措</w:t>
            </w:r>
          </w:p>
          <w:p>
            <w:pPr>
              <w:adjustRightInd w:val="0"/>
              <w:snapToGrid w:val="0"/>
              <w:jc w:val="center"/>
              <w:rPr>
                <w:rFonts w:eastAsia="黑体" w:cs="Times New Roman"/>
                <w:bCs/>
                <w:spacing w:val="10"/>
                <w:szCs w:val="21"/>
                <w:highlight w:val="yellow"/>
              </w:rPr>
            </w:pPr>
            <w:r>
              <w:rPr>
                <w:rFonts w:eastAsia="黑体" w:cs="Times New Roman"/>
                <w:bCs/>
                <w:spacing w:val="10"/>
              </w:rPr>
              <w:t>施</w:t>
            </w:r>
          </w:p>
        </w:tc>
        <w:tc>
          <w:tcPr>
            <w:tcW w:w="8653" w:type="dxa"/>
          </w:tcPr>
          <w:p>
            <w:pPr>
              <w:pStyle w:val="4"/>
              <w:numPr>
                <w:ilvl w:val="0"/>
                <w:numId w:val="12"/>
              </w:numPr>
              <w:ind w:left="0" w:firstLine="0"/>
              <w:rPr>
                <w:rFonts w:ascii="Times New Roman" w:hAnsi="Times New Roman" w:cs="Times New Roman"/>
              </w:rPr>
            </w:pPr>
            <w:r>
              <w:rPr>
                <w:rFonts w:ascii="Times New Roman" w:hAnsi="Times New Roman" w:cs="Times New Roman"/>
              </w:rPr>
              <w:t>电磁环境保护措施</w:t>
            </w:r>
          </w:p>
          <w:p>
            <w:pPr>
              <w:pStyle w:val="24"/>
              <w:ind w:firstLine="420"/>
              <w:rPr>
                <w:rFonts w:cs="Times New Roman"/>
              </w:rPr>
            </w:pPr>
            <w:r>
              <w:rPr>
                <w:rFonts w:cs="Times New Roman"/>
              </w:rPr>
              <w:t>本项目拟建110kV架空线路应根据本报告提出的最低线高要求进行优化，即当线路位于耕养区时最低线高应满足6m，当线路位于公众曝露区时最低线高应分别满足7m（非跨越环境敏感目标建筑）。在采取以上措施后，本项目运营期产生的工频电场、工频磁场较小，且能满足相关标准要求。</w:t>
            </w:r>
          </w:p>
          <w:p>
            <w:pPr>
              <w:pStyle w:val="4"/>
              <w:numPr>
                <w:ilvl w:val="0"/>
                <w:numId w:val="12"/>
              </w:numPr>
              <w:ind w:left="0" w:firstLine="0"/>
              <w:rPr>
                <w:rFonts w:ascii="Times New Roman" w:hAnsi="Times New Roman" w:cs="Times New Roman"/>
              </w:rPr>
            </w:pPr>
            <w:r>
              <w:rPr>
                <w:rFonts w:ascii="Times New Roman" w:hAnsi="Times New Roman" w:cs="Times New Roman"/>
              </w:rPr>
              <w:t>声环境保护措施</w:t>
            </w:r>
          </w:p>
          <w:p>
            <w:pPr>
              <w:pStyle w:val="24"/>
              <w:ind w:firstLine="420"/>
              <w:contextualSpacing/>
              <w:rPr>
                <w:rFonts w:cs="Times New Roman"/>
              </w:rPr>
            </w:pPr>
            <w:r>
              <w:rPr>
                <w:rFonts w:cs="Times New Roman"/>
              </w:rPr>
              <w:t>在线路设备采购时，应选择表面光滑的导线，毛刺较少的设备，以减小线路在运行时产生的噪声。在采取以上措施后，项目产生的噪声对周围环境影响不大。</w:t>
            </w:r>
          </w:p>
          <w:p>
            <w:pPr>
              <w:pStyle w:val="4"/>
              <w:numPr>
                <w:ilvl w:val="0"/>
                <w:numId w:val="12"/>
              </w:numPr>
              <w:ind w:left="0" w:firstLine="0"/>
              <w:rPr>
                <w:rFonts w:ascii="Times New Roman" w:hAnsi="Times New Roman" w:cs="Times New Roman"/>
              </w:rPr>
            </w:pPr>
            <w:r>
              <w:rPr>
                <w:rFonts w:ascii="Times New Roman" w:hAnsi="Times New Roman" w:cs="Times New Roman"/>
              </w:rPr>
              <w:t>水环境保护措施</w:t>
            </w:r>
          </w:p>
          <w:p>
            <w:pPr>
              <w:pStyle w:val="24"/>
              <w:ind w:firstLine="420"/>
              <w:rPr>
                <w:rFonts w:cs="Times New Roman"/>
              </w:rPr>
            </w:pPr>
            <w:r>
              <w:rPr>
                <w:rFonts w:cs="Times New Roman"/>
              </w:rPr>
              <w:t>输电线路运行期间无废污水产生，不会对附近水环境产生影响。</w:t>
            </w:r>
          </w:p>
          <w:p>
            <w:pPr>
              <w:pStyle w:val="4"/>
              <w:numPr>
                <w:ilvl w:val="0"/>
                <w:numId w:val="12"/>
              </w:numPr>
              <w:ind w:left="0" w:firstLine="0"/>
              <w:rPr>
                <w:rFonts w:ascii="Times New Roman" w:hAnsi="Times New Roman" w:cs="Times New Roman"/>
              </w:rPr>
            </w:pPr>
            <w:r>
              <w:rPr>
                <w:rFonts w:ascii="Times New Roman" w:hAnsi="Times New Roman" w:cs="Times New Roman"/>
              </w:rPr>
              <w:t>固体废弃物处理措施</w:t>
            </w:r>
          </w:p>
          <w:p>
            <w:pPr>
              <w:pStyle w:val="24"/>
              <w:ind w:firstLine="420"/>
              <w:rPr>
                <w:rFonts w:cs="Times New Roman"/>
              </w:rPr>
            </w:pPr>
            <w:r>
              <w:rPr>
                <w:rFonts w:cs="Times New Roman"/>
              </w:rPr>
              <w:t>输电线路运行期无固体废物产生，对外环境无影响。</w:t>
            </w:r>
          </w:p>
          <w:p>
            <w:pPr>
              <w:pStyle w:val="4"/>
              <w:numPr>
                <w:ilvl w:val="0"/>
                <w:numId w:val="12"/>
              </w:numPr>
              <w:ind w:left="0" w:firstLine="0"/>
              <w:rPr>
                <w:rFonts w:ascii="Times New Roman" w:hAnsi="Times New Roman" w:cs="Times New Roman"/>
              </w:rPr>
            </w:pPr>
            <w:r>
              <w:rPr>
                <w:rFonts w:ascii="Times New Roman" w:hAnsi="Times New Roman" w:cs="Times New Roman"/>
              </w:rPr>
              <w:t>运营期环保措施责任主体及实施效果</w:t>
            </w:r>
          </w:p>
          <w:p>
            <w:pPr>
              <w:pStyle w:val="24"/>
              <w:ind w:firstLine="420"/>
              <w:rPr>
                <w:rFonts w:cs="Times New Roman"/>
              </w:rPr>
            </w:pPr>
            <w:r>
              <w:rPr>
                <w:rFonts w:cs="Times New Roman"/>
              </w:rPr>
              <w:t>本项目运营期采取的生态环境保护措施的责任主体为建设单位，建设单位应严格依照相关要求确保措施有效落实。经分析，以上措施具有技术可行性、经济合理性、运行稳定性、生态保护的可达性，在认真落实各项污染防治措施后，本项目运营期对生态环境影响较小，电磁及声环境影响能满足标准要求</w:t>
            </w:r>
            <w:r>
              <w:rPr>
                <w:rFonts w:hint="eastAsia" w:cs="Times New Roma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839" w:hRule="atLeast"/>
          <w:jc w:val="center"/>
        </w:trPr>
        <w:tc>
          <w:tcPr>
            <w:tcW w:w="557" w:type="dxa"/>
            <w:tcMar>
              <w:left w:w="28" w:type="dxa"/>
              <w:right w:w="28" w:type="dxa"/>
            </w:tcMar>
            <w:vAlign w:val="center"/>
          </w:tcPr>
          <w:p>
            <w:pPr>
              <w:adjustRightInd w:val="0"/>
              <w:snapToGrid w:val="0"/>
              <w:jc w:val="center"/>
              <w:rPr>
                <w:rFonts w:eastAsia="黑体" w:cs="Times New Roman"/>
                <w:bCs/>
              </w:rPr>
            </w:pPr>
            <w:r>
              <w:rPr>
                <w:rFonts w:eastAsia="黑体" w:cs="Times New Roman"/>
                <w:bCs/>
              </w:rPr>
              <w:t>其</w:t>
            </w:r>
          </w:p>
          <w:p>
            <w:pPr>
              <w:adjustRightInd w:val="0"/>
              <w:snapToGrid w:val="0"/>
              <w:jc w:val="center"/>
              <w:rPr>
                <w:rFonts w:eastAsia="黑体" w:cs="Times New Roman"/>
                <w:bCs/>
                <w:spacing w:val="10"/>
                <w:highlight w:val="yellow"/>
              </w:rPr>
            </w:pPr>
            <w:r>
              <w:rPr>
                <w:rFonts w:eastAsia="黑体" w:cs="Times New Roman"/>
                <w:bCs/>
              </w:rPr>
              <w:t>他</w:t>
            </w:r>
          </w:p>
        </w:tc>
        <w:tc>
          <w:tcPr>
            <w:tcW w:w="8653" w:type="dxa"/>
          </w:tcPr>
          <w:p>
            <w:pPr>
              <w:pStyle w:val="32"/>
              <w:keepLines/>
              <w:numPr>
                <w:ilvl w:val="0"/>
                <w:numId w:val="12"/>
              </w:numPr>
              <w:spacing w:line="360" w:lineRule="auto"/>
              <w:ind w:left="0" w:firstLine="0" w:firstLineChars="0"/>
              <w:outlineLvl w:val="1"/>
              <w:rPr>
                <w:rFonts w:eastAsia="黑体" w:cs="Times New Roman"/>
                <w:bCs/>
                <w:szCs w:val="32"/>
              </w:rPr>
            </w:pPr>
            <w:r>
              <w:rPr>
                <w:rFonts w:eastAsia="黑体" w:cs="Times New Roman"/>
                <w:bCs/>
                <w:szCs w:val="32"/>
              </w:rPr>
              <w:t>环境管理</w:t>
            </w:r>
          </w:p>
          <w:p>
            <w:pPr>
              <w:pStyle w:val="24"/>
              <w:ind w:firstLine="420"/>
              <w:rPr>
                <w:rFonts w:cs="Times New Roman"/>
              </w:rPr>
            </w:pPr>
            <w:r>
              <w:rPr>
                <w:rFonts w:cs="Times New Roman"/>
              </w:rPr>
              <w:t>（1）施工期</w:t>
            </w:r>
          </w:p>
          <w:p>
            <w:pPr>
              <w:pStyle w:val="24"/>
              <w:ind w:firstLine="420"/>
              <w:rPr>
                <w:rFonts w:cs="Times New Roman"/>
              </w:rPr>
            </w:pPr>
            <w:r>
              <w:rPr>
                <w:rFonts w:cs="Times New Roman"/>
              </w:rPr>
              <w:t>施工期间环境管理的责任和义务，由建设单位和施工单位等共同承担。</w:t>
            </w:r>
          </w:p>
          <w:p>
            <w:pPr>
              <w:pStyle w:val="24"/>
              <w:ind w:firstLine="420"/>
              <w:rPr>
                <w:rFonts w:cs="Times New Roman"/>
              </w:rPr>
            </w:pPr>
            <w:r>
              <w:rPr>
                <w:rFonts w:cs="Times New Roman"/>
              </w:rPr>
              <w:t>建设单位需安排一名兼职人员具体负责落实工程环境保护设计内容，监督施工期环境措施的实施，协调好各部门或团体之间的环保工作和处理施工中出现的环保问题。</w:t>
            </w:r>
          </w:p>
          <w:p>
            <w:pPr>
              <w:pStyle w:val="24"/>
              <w:ind w:firstLine="420"/>
              <w:rPr>
                <w:rFonts w:cs="Times New Roman"/>
              </w:rPr>
            </w:pPr>
            <w:r>
              <w:rPr>
                <w:rFonts w:cs="Times New Roman"/>
              </w:rPr>
              <w:t>施工单位在施工期间应指派人员具体负责执行有关的环境保护对策措施，并接受环境保护管理部门对环保工作的监督和管理。</w:t>
            </w:r>
          </w:p>
          <w:p>
            <w:pPr>
              <w:pStyle w:val="24"/>
              <w:ind w:firstLine="420"/>
              <w:rPr>
                <w:rFonts w:cs="Times New Roman"/>
              </w:rPr>
            </w:pPr>
            <w:r>
              <w:rPr>
                <w:rFonts w:cs="Times New Roman"/>
              </w:rPr>
              <w:t>监理单位在施工期间应协助当地环境保护管理部门加强对施工单位环境保护对策措施落实的监督和管理。</w:t>
            </w:r>
          </w:p>
          <w:p>
            <w:pPr>
              <w:pStyle w:val="24"/>
              <w:ind w:firstLine="420"/>
              <w:rPr>
                <w:rFonts w:cs="Times New Roman"/>
              </w:rPr>
            </w:pPr>
            <w:r>
              <w:rPr>
                <w:rFonts w:cs="Times New Roman"/>
              </w:rPr>
              <w:t>（2）运营期</w:t>
            </w:r>
          </w:p>
          <w:p>
            <w:pPr>
              <w:pStyle w:val="24"/>
              <w:ind w:firstLine="420"/>
              <w:rPr>
                <w:rFonts w:cs="Times New Roman"/>
              </w:rPr>
            </w:pPr>
            <w:r>
              <w:rPr>
                <w:rFonts w:cs="Times New Roman"/>
              </w:rPr>
              <w:t>建设单位应设立一名兼职的环保工作人员，负责输电线路运营期间的环境保护工作。</w:t>
            </w:r>
          </w:p>
          <w:p>
            <w:pPr>
              <w:pStyle w:val="32"/>
              <w:keepLines/>
              <w:numPr>
                <w:ilvl w:val="0"/>
                <w:numId w:val="12"/>
              </w:numPr>
              <w:spacing w:line="360" w:lineRule="auto"/>
              <w:ind w:left="0" w:firstLine="0" w:firstLineChars="0"/>
              <w:outlineLvl w:val="1"/>
              <w:rPr>
                <w:rFonts w:eastAsia="黑体" w:cs="Times New Roman"/>
                <w:bCs/>
                <w:szCs w:val="32"/>
              </w:rPr>
            </w:pPr>
            <w:r>
              <w:rPr>
                <w:rFonts w:eastAsia="黑体" w:cs="Times New Roman"/>
                <w:bCs/>
                <w:szCs w:val="32"/>
              </w:rPr>
              <w:t>环境监测计划</w:t>
            </w:r>
          </w:p>
          <w:p>
            <w:pPr>
              <w:pStyle w:val="24"/>
              <w:ind w:firstLine="420"/>
              <w:rPr>
                <w:rFonts w:cs="Times New Roman"/>
              </w:rPr>
            </w:pPr>
            <w:r>
              <w:rPr>
                <w:rFonts w:cs="Times New Roman"/>
              </w:rPr>
              <w:t>（1）环境监测任务</w:t>
            </w:r>
          </w:p>
          <w:p>
            <w:pPr>
              <w:pStyle w:val="24"/>
              <w:ind w:firstLine="420"/>
              <w:rPr>
                <w:rFonts w:cs="Times New Roman"/>
              </w:rPr>
            </w:pPr>
            <w:r>
              <w:rPr>
                <w:rFonts w:hint="eastAsia" w:cs="Times New Roman"/>
              </w:rPr>
              <w:t>根据</w:t>
            </w:r>
            <w:bookmarkStart w:id="34" w:name="_Hlk136937475"/>
            <w:r>
              <w:rPr>
                <w:rFonts w:hint="eastAsia" w:cs="Times New Roman"/>
              </w:rPr>
              <w:t>《环境影响评价技术导则 输变电》（H</w:t>
            </w:r>
            <w:r>
              <w:rPr>
                <w:rFonts w:cs="Times New Roman"/>
              </w:rPr>
              <w:t>J24-2020</w:t>
            </w:r>
            <w:r>
              <w:rPr>
                <w:rFonts w:hint="eastAsia" w:cs="Times New Roman"/>
              </w:rPr>
              <w:t>）</w:t>
            </w:r>
            <w:bookmarkEnd w:id="34"/>
            <w:r>
              <w:rPr>
                <w:rFonts w:hint="eastAsia" w:cs="Times New Roman"/>
              </w:rPr>
              <w:t>，</w:t>
            </w:r>
            <w:r>
              <w:rPr>
                <w:rFonts w:cs="Times New Roman"/>
              </w:rPr>
              <w:t>环境监测任务主要包括对工程运行期主要环境要素及评价因子动态变化进行监测，制定环境监测计划，并对建设项目突发性环境事件进行跟踪监测调查，为项目的环境管理提供依据。监测项目主要包括工程运行期噪声和电磁环境（工频电场、工频磁场）。</w:t>
            </w:r>
          </w:p>
          <w:p>
            <w:pPr>
              <w:pStyle w:val="24"/>
              <w:ind w:firstLine="420"/>
              <w:rPr>
                <w:rFonts w:cs="Times New Roman"/>
                <w:szCs w:val="21"/>
              </w:rPr>
            </w:pPr>
            <w:r>
              <w:rPr>
                <w:rFonts w:cs="Times New Roman"/>
                <w:szCs w:val="21"/>
              </w:rPr>
              <w:t>（2）监测点位布设及频次</w:t>
            </w:r>
          </w:p>
          <w:p>
            <w:pPr>
              <w:jc w:val="center"/>
              <w:rPr>
                <w:rFonts w:eastAsia="黑体" w:cs="Times New Roman"/>
                <w:sz w:val="18"/>
                <w:szCs w:val="18"/>
              </w:rPr>
            </w:pPr>
            <w:r>
              <w:rPr>
                <w:rFonts w:eastAsia="黑体" w:cs="Times New Roman"/>
                <w:sz w:val="18"/>
                <w:szCs w:val="18"/>
              </w:rPr>
              <w:t>本</w:t>
            </w:r>
            <w:r>
              <w:rPr>
                <w:rFonts w:hint="eastAsia" w:eastAsia="黑体" w:cs="Times New Roman"/>
                <w:sz w:val="18"/>
                <w:szCs w:val="18"/>
              </w:rPr>
              <w:t>项目</w:t>
            </w:r>
            <w:r>
              <w:rPr>
                <w:rFonts w:eastAsia="黑体" w:cs="Times New Roman"/>
                <w:sz w:val="18"/>
                <w:szCs w:val="18"/>
              </w:rPr>
              <w:t>监测计划一览表</w:t>
            </w:r>
          </w:p>
          <w:p>
            <w:pPr>
              <w:rPr>
                <w:rFonts w:eastAsia="黑体" w:cs="Times New Roman"/>
                <w:sz w:val="18"/>
                <w:szCs w:val="18"/>
              </w:rPr>
            </w:pPr>
            <w:r>
              <w:rPr>
                <w:rFonts w:eastAsia="黑体" w:cs="Times New Roman"/>
                <w:sz w:val="18"/>
                <w:szCs w:val="18"/>
              </w:rPr>
              <w:t>表5.1</w:t>
            </w:r>
            <w:r>
              <w:rPr>
                <w:rFonts w:hint="eastAsia" w:eastAsia="黑体" w:cs="Times New Roman"/>
                <w:sz w:val="18"/>
                <w:szCs w:val="18"/>
              </w:rPr>
              <w:t>3</w:t>
            </w:r>
            <w:r>
              <w:rPr>
                <w:rFonts w:eastAsia="黑体" w:cs="Times New Roman"/>
                <w:sz w:val="18"/>
                <w:szCs w:val="18"/>
              </w:rPr>
              <w:t>-1</w:t>
            </w:r>
          </w:p>
          <w:tbl>
            <w:tblPr>
              <w:tblStyle w:val="25"/>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44"/>
              <w:gridCol w:w="1527"/>
              <w:gridCol w:w="1800"/>
              <w:gridCol w:w="830"/>
              <w:gridCol w:w="968"/>
              <w:gridCol w:w="1696"/>
              <w:gridCol w:w="10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377" w:type="pct"/>
                  <w:vAlign w:val="center"/>
                </w:tcPr>
                <w:p>
                  <w:pPr>
                    <w:jc w:val="center"/>
                    <w:rPr>
                      <w:rFonts w:cs="Times New Roman"/>
                      <w:kern w:val="0"/>
                      <w:sz w:val="18"/>
                      <w:szCs w:val="18"/>
                    </w:rPr>
                  </w:pPr>
                  <w:bookmarkStart w:id="35" w:name="_Hlk48685136"/>
                  <w:r>
                    <w:rPr>
                      <w:rFonts w:cs="Times New Roman"/>
                      <w:kern w:val="0"/>
                      <w:sz w:val="18"/>
                      <w:szCs w:val="18"/>
                    </w:rPr>
                    <w:t>监测</w:t>
                  </w:r>
                </w:p>
                <w:p>
                  <w:pPr>
                    <w:jc w:val="center"/>
                    <w:rPr>
                      <w:rFonts w:cs="Times New Roman"/>
                      <w:kern w:val="0"/>
                      <w:sz w:val="18"/>
                      <w:szCs w:val="18"/>
                    </w:rPr>
                  </w:pPr>
                  <w:r>
                    <w:rPr>
                      <w:rFonts w:cs="Times New Roman"/>
                      <w:kern w:val="0"/>
                      <w:sz w:val="18"/>
                      <w:szCs w:val="18"/>
                    </w:rPr>
                    <w:t>项目</w:t>
                  </w:r>
                </w:p>
              </w:tc>
              <w:tc>
                <w:tcPr>
                  <w:tcW w:w="894" w:type="pct"/>
                  <w:vAlign w:val="center"/>
                </w:tcPr>
                <w:p>
                  <w:pPr>
                    <w:jc w:val="center"/>
                    <w:rPr>
                      <w:rFonts w:cs="Times New Roman"/>
                      <w:kern w:val="0"/>
                      <w:sz w:val="18"/>
                      <w:szCs w:val="18"/>
                    </w:rPr>
                  </w:pPr>
                  <w:r>
                    <w:rPr>
                      <w:rFonts w:cs="Times New Roman"/>
                      <w:kern w:val="0"/>
                      <w:sz w:val="18"/>
                      <w:szCs w:val="18"/>
                    </w:rPr>
                    <w:t>监测点位布设</w:t>
                  </w:r>
                </w:p>
              </w:tc>
              <w:tc>
                <w:tcPr>
                  <w:tcW w:w="1054" w:type="pct"/>
                  <w:vAlign w:val="center"/>
                </w:tcPr>
                <w:p>
                  <w:pPr>
                    <w:jc w:val="center"/>
                    <w:rPr>
                      <w:rFonts w:cs="Times New Roman"/>
                      <w:kern w:val="0"/>
                      <w:sz w:val="18"/>
                      <w:szCs w:val="18"/>
                    </w:rPr>
                  </w:pPr>
                  <w:r>
                    <w:rPr>
                      <w:rFonts w:cs="Times New Roman"/>
                      <w:kern w:val="0"/>
                      <w:sz w:val="18"/>
                      <w:szCs w:val="18"/>
                    </w:rPr>
                    <w:t>监测频次</w:t>
                  </w:r>
                </w:p>
              </w:tc>
              <w:tc>
                <w:tcPr>
                  <w:tcW w:w="486" w:type="pct"/>
                  <w:vAlign w:val="center"/>
                </w:tcPr>
                <w:p>
                  <w:pPr>
                    <w:jc w:val="center"/>
                    <w:rPr>
                      <w:rFonts w:cs="Times New Roman"/>
                      <w:kern w:val="0"/>
                      <w:sz w:val="18"/>
                      <w:szCs w:val="18"/>
                    </w:rPr>
                  </w:pPr>
                  <w:r>
                    <w:rPr>
                      <w:rFonts w:cs="Times New Roman"/>
                      <w:kern w:val="0"/>
                      <w:sz w:val="18"/>
                      <w:szCs w:val="18"/>
                    </w:rPr>
                    <w:t>监测部门</w:t>
                  </w:r>
                </w:p>
              </w:tc>
              <w:tc>
                <w:tcPr>
                  <w:tcW w:w="567" w:type="pct"/>
                  <w:vAlign w:val="center"/>
                </w:tcPr>
                <w:p>
                  <w:pPr>
                    <w:jc w:val="center"/>
                    <w:rPr>
                      <w:rFonts w:cs="Times New Roman"/>
                      <w:kern w:val="0"/>
                      <w:sz w:val="18"/>
                      <w:szCs w:val="18"/>
                    </w:rPr>
                  </w:pPr>
                  <w:r>
                    <w:rPr>
                      <w:rFonts w:cs="Times New Roman"/>
                      <w:kern w:val="0"/>
                      <w:sz w:val="18"/>
                      <w:szCs w:val="18"/>
                    </w:rPr>
                    <w:t>负责部门</w:t>
                  </w:r>
                </w:p>
              </w:tc>
              <w:tc>
                <w:tcPr>
                  <w:tcW w:w="993" w:type="pct"/>
                  <w:vAlign w:val="center"/>
                </w:tcPr>
                <w:p>
                  <w:pPr>
                    <w:jc w:val="center"/>
                    <w:rPr>
                      <w:rFonts w:cs="Times New Roman"/>
                      <w:kern w:val="0"/>
                      <w:sz w:val="18"/>
                      <w:szCs w:val="18"/>
                    </w:rPr>
                  </w:pPr>
                  <w:r>
                    <w:rPr>
                      <w:rFonts w:hint="eastAsia" w:cs="Times New Roman"/>
                      <w:kern w:val="0"/>
                      <w:sz w:val="18"/>
                      <w:szCs w:val="18"/>
                    </w:rPr>
                    <w:t>监测方法</w:t>
                  </w:r>
                </w:p>
              </w:tc>
              <w:tc>
                <w:tcPr>
                  <w:tcW w:w="629" w:type="pct"/>
                  <w:vAlign w:val="center"/>
                </w:tcPr>
                <w:p>
                  <w:pPr>
                    <w:jc w:val="center"/>
                    <w:rPr>
                      <w:rFonts w:cs="Times New Roman"/>
                      <w:kern w:val="0"/>
                      <w:sz w:val="18"/>
                      <w:szCs w:val="18"/>
                    </w:rPr>
                  </w:pPr>
                  <w:r>
                    <w:rPr>
                      <w:rFonts w:hint="eastAsia" w:cs="Times New Roman"/>
                      <w:kern w:val="0"/>
                      <w:sz w:val="18"/>
                      <w:szCs w:val="18"/>
                    </w:rPr>
                    <w:t>执行标准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377" w:type="pct"/>
                  <w:vAlign w:val="center"/>
                </w:tcPr>
                <w:p>
                  <w:pPr>
                    <w:jc w:val="center"/>
                    <w:rPr>
                      <w:rFonts w:cs="Times New Roman"/>
                      <w:kern w:val="0"/>
                      <w:sz w:val="18"/>
                      <w:szCs w:val="18"/>
                    </w:rPr>
                  </w:pPr>
                  <w:r>
                    <w:rPr>
                      <w:rFonts w:cs="Times New Roman"/>
                      <w:kern w:val="0"/>
                      <w:sz w:val="18"/>
                      <w:szCs w:val="18"/>
                    </w:rPr>
                    <w:t>环境</w:t>
                  </w:r>
                </w:p>
                <w:p>
                  <w:pPr>
                    <w:jc w:val="center"/>
                    <w:rPr>
                      <w:rFonts w:cs="Times New Roman"/>
                      <w:kern w:val="0"/>
                      <w:sz w:val="18"/>
                      <w:szCs w:val="18"/>
                    </w:rPr>
                  </w:pPr>
                  <w:r>
                    <w:rPr>
                      <w:rFonts w:cs="Times New Roman"/>
                      <w:kern w:val="0"/>
                      <w:sz w:val="18"/>
                      <w:szCs w:val="18"/>
                    </w:rPr>
                    <w:t>噪声</w:t>
                  </w:r>
                </w:p>
              </w:tc>
              <w:tc>
                <w:tcPr>
                  <w:tcW w:w="894" w:type="pct"/>
                  <w:vAlign w:val="center"/>
                </w:tcPr>
                <w:p>
                  <w:pPr>
                    <w:jc w:val="center"/>
                    <w:rPr>
                      <w:rFonts w:cs="Times New Roman"/>
                      <w:kern w:val="0"/>
                      <w:sz w:val="18"/>
                      <w:szCs w:val="18"/>
                    </w:rPr>
                  </w:pPr>
                  <w:r>
                    <w:rPr>
                      <w:rFonts w:hint="eastAsia" w:cs="Times New Roman"/>
                      <w:kern w:val="0"/>
                      <w:sz w:val="18"/>
                      <w:szCs w:val="18"/>
                    </w:rPr>
                    <w:t>架空线路下方设置1个点位、</w:t>
                  </w:r>
                  <w:r>
                    <w:rPr>
                      <w:rFonts w:cs="Times New Roman"/>
                      <w:kern w:val="0"/>
                      <w:sz w:val="18"/>
                      <w:szCs w:val="18"/>
                    </w:rPr>
                    <w:t>2</w:t>
                  </w:r>
                  <w:r>
                    <w:rPr>
                      <w:rFonts w:hint="eastAsia" w:cs="Times New Roman"/>
                      <w:kern w:val="0"/>
                      <w:sz w:val="18"/>
                      <w:szCs w:val="18"/>
                    </w:rPr>
                    <w:t>处</w:t>
                  </w:r>
                  <w:r>
                    <w:rPr>
                      <w:rFonts w:cs="Times New Roman"/>
                      <w:kern w:val="0"/>
                      <w:sz w:val="18"/>
                      <w:szCs w:val="18"/>
                    </w:rPr>
                    <w:t>住宅1~3F</w:t>
                  </w:r>
                  <w:r>
                    <w:rPr>
                      <w:rFonts w:hint="eastAsia" w:cs="Times New Roman"/>
                      <w:kern w:val="0"/>
                      <w:sz w:val="18"/>
                      <w:szCs w:val="18"/>
                    </w:rPr>
                    <w:t>各设置</w:t>
                  </w:r>
                  <w:r>
                    <w:rPr>
                      <w:rFonts w:cs="Times New Roman"/>
                      <w:kern w:val="0"/>
                      <w:sz w:val="18"/>
                      <w:szCs w:val="18"/>
                    </w:rPr>
                    <w:t>1</w:t>
                  </w:r>
                  <w:r>
                    <w:rPr>
                      <w:rFonts w:hint="eastAsia" w:cs="Times New Roman"/>
                      <w:kern w:val="0"/>
                      <w:sz w:val="18"/>
                      <w:szCs w:val="18"/>
                    </w:rPr>
                    <w:t>个点位</w:t>
                  </w:r>
                </w:p>
              </w:tc>
              <w:tc>
                <w:tcPr>
                  <w:tcW w:w="1054" w:type="pct"/>
                  <w:vAlign w:val="center"/>
                </w:tcPr>
                <w:p>
                  <w:pPr>
                    <w:jc w:val="center"/>
                    <w:rPr>
                      <w:rFonts w:cs="Times New Roman"/>
                      <w:kern w:val="0"/>
                      <w:sz w:val="18"/>
                      <w:szCs w:val="18"/>
                    </w:rPr>
                  </w:pPr>
                  <w:r>
                    <w:rPr>
                      <w:rFonts w:cs="Times New Roman"/>
                      <w:kern w:val="0"/>
                      <w:sz w:val="18"/>
                      <w:szCs w:val="18"/>
                    </w:rPr>
                    <w:t>工程竣工环保验收时开展1次监测，建议运行期定期开展监测</w:t>
                  </w:r>
                </w:p>
              </w:tc>
              <w:tc>
                <w:tcPr>
                  <w:tcW w:w="486" w:type="pct"/>
                  <w:vMerge w:val="restart"/>
                  <w:vAlign w:val="center"/>
                </w:tcPr>
                <w:p>
                  <w:pPr>
                    <w:jc w:val="center"/>
                    <w:rPr>
                      <w:rFonts w:cs="Times New Roman"/>
                      <w:kern w:val="0"/>
                      <w:sz w:val="18"/>
                      <w:szCs w:val="18"/>
                    </w:rPr>
                  </w:pPr>
                  <w:r>
                    <w:rPr>
                      <w:rFonts w:cs="Times New Roman"/>
                      <w:kern w:val="0"/>
                      <w:sz w:val="18"/>
                      <w:szCs w:val="18"/>
                    </w:rPr>
                    <w:t>竣工环保验收监测单位；运行期监测单位</w:t>
                  </w:r>
                </w:p>
              </w:tc>
              <w:tc>
                <w:tcPr>
                  <w:tcW w:w="567" w:type="pct"/>
                  <w:vMerge w:val="restart"/>
                  <w:vAlign w:val="center"/>
                </w:tcPr>
                <w:p>
                  <w:pPr>
                    <w:jc w:val="center"/>
                    <w:rPr>
                      <w:rFonts w:cs="Times New Roman"/>
                      <w:kern w:val="0"/>
                      <w:sz w:val="18"/>
                      <w:szCs w:val="18"/>
                    </w:rPr>
                  </w:pPr>
                  <w:r>
                    <w:rPr>
                      <w:rFonts w:hint="eastAsia" w:cs="Times New Roman"/>
                      <w:kern w:val="0"/>
                      <w:sz w:val="18"/>
                      <w:szCs w:val="18"/>
                    </w:rPr>
                    <w:t>海宁市铁路投资集团有限公司</w:t>
                  </w:r>
                </w:p>
              </w:tc>
              <w:tc>
                <w:tcPr>
                  <w:tcW w:w="993" w:type="pct"/>
                  <w:vAlign w:val="center"/>
                </w:tcPr>
                <w:p>
                  <w:pPr>
                    <w:jc w:val="center"/>
                    <w:rPr>
                      <w:rFonts w:cs="Times New Roman"/>
                      <w:kern w:val="0"/>
                      <w:sz w:val="18"/>
                      <w:szCs w:val="18"/>
                    </w:rPr>
                  </w:pPr>
                  <w:r>
                    <w:rPr>
                      <w:rFonts w:cs="Times New Roman"/>
                      <w:kern w:val="0"/>
                      <w:sz w:val="18"/>
                      <w:szCs w:val="18"/>
                    </w:rPr>
                    <w:t>《声环境质量标准》（GB3096-2008）</w:t>
                  </w:r>
                </w:p>
              </w:tc>
              <w:tc>
                <w:tcPr>
                  <w:tcW w:w="629" w:type="pct"/>
                  <w:vAlign w:val="center"/>
                </w:tcPr>
                <w:p>
                  <w:pPr>
                    <w:jc w:val="center"/>
                    <w:rPr>
                      <w:rFonts w:cs="Times New Roman"/>
                      <w:kern w:val="0"/>
                      <w:sz w:val="18"/>
                      <w:szCs w:val="18"/>
                    </w:rPr>
                  </w:pPr>
                  <w:r>
                    <w:rPr>
                      <w:rFonts w:cs="Times New Roman"/>
                      <w:kern w:val="0"/>
                      <w:sz w:val="18"/>
                      <w:szCs w:val="18"/>
                    </w:rPr>
                    <w:t>2</w:t>
                  </w:r>
                  <w:r>
                    <w:rPr>
                      <w:rFonts w:hint="eastAsia" w:cs="Times New Roman"/>
                      <w:kern w:val="0"/>
                      <w:sz w:val="18"/>
                      <w:szCs w:val="18"/>
                    </w:rPr>
                    <w:t>类标准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377" w:type="pct"/>
                  <w:vAlign w:val="center"/>
                </w:tcPr>
                <w:p>
                  <w:pPr>
                    <w:jc w:val="center"/>
                    <w:rPr>
                      <w:rFonts w:cs="Times New Roman"/>
                      <w:kern w:val="0"/>
                      <w:sz w:val="18"/>
                      <w:szCs w:val="18"/>
                    </w:rPr>
                  </w:pPr>
                  <w:r>
                    <w:rPr>
                      <w:rFonts w:hint="eastAsia" w:cs="Times New Roman"/>
                      <w:kern w:val="0"/>
                      <w:sz w:val="18"/>
                      <w:szCs w:val="18"/>
                    </w:rPr>
                    <w:t>电磁</w:t>
                  </w:r>
                </w:p>
                <w:p>
                  <w:pPr>
                    <w:jc w:val="center"/>
                    <w:rPr>
                      <w:rFonts w:cs="Times New Roman"/>
                      <w:kern w:val="0"/>
                      <w:sz w:val="18"/>
                      <w:szCs w:val="18"/>
                      <w:highlight w:val="yellow"/>
                    </w:rPr>
                  </w:pPr>
                  <w:r>
                    <w:rPr>
                      <w:rFonts w:hint="eastAsia" w:cs="Times New Roman"/>
                      <w:kern w:val="0"/>
                      <w:sz w:val="18"/>
                      <w:szCs w:val="18"/>
                    </w:rPr>
                    <w:t>环境</w:t>
                  </w:r>
                </w:p>
              </w:tc>
              <w:tc>
                <w:tcPr>
                  <w:tcW w:w="894" w:type="pct"/>
                  <w:vAlign w:val="center"/>
                </w:tcPr>
                <w:p>
                  <w:pPr>
                    <w:jc w:val="center"/>
                    <w:rPr>
                      <w:rFonts w:cs="Times New Roman"/>
                      <w:kern w:val="0"/>
                      <w:sz w:val="18"/>
                      <w:szCs w:val="18"/>
                      <w:highlight w:val="yellow"/>
                    </w:rPr>
                  </w:pPr>
                  <w:r>
                    <w:rPr>
                      <w:rFonts w:hint="eastAsia" w:cs="Times New Roman"/>
                      <w:kern w:val="0"/>
                      <w:sz w:val="18"/>
                      <w:szCs w:val="18"/>
                    </w:rPr>
                    <w:t>架空线路下方设置1个点位、</w:t>
                  </w:r>
                  <w:r>
                    <w:rPr>
                      <w:rFonts w:cs="Times New Roman"/>
                      <w:kern w:val="0"/>
                      <w:sz w:val="18"/>
                      <w:szCs w:val="18"/>
                    </w:rPr>
                    <w:t>2</w:t>
                  </w:r>
                  <w:r>
                    <w:rPr>
                      <w:rFonts w:hint="eastAsia" w:cs="Times New Roman"/>
                      <w:kern w:val="0"/>
                      <w:sz w:val="18"/>
                      <w:szCs w:val="18"/>
                    </w:rPr>
                    <w:t>处</w:t>
                  </w:r>
                  <w:r>
                    <w:rPr>
                      <w:rFonts w:cs="Times New Roman"/>
                      <w:kern w:val="0"/>
                      <w:sz w:val="18"/>
                      <w:szCs w:val="18"/>
                    </w:rPr>
                    <w:t>住宅1~3F</w:t>
                  </w:r>
                  <w:r>
                    <w:rPr>
                      <w:rFonts w:hint="eastAsia" w:cs="Times New Roman"/>
                      <w:kern w:val="0"/>
                      <w:sz w:val="18"/>
                      <w:szCs w:val="18"/>
                    </w:rPr>
                    <w:t>各设置</w:t>
                  </w:r>
                  <w:r>
                    <w:rPr>
                      <w:rFonts w:cs="Times New Roman"/>
                      <w:kern w:val="0"/>
                      <w:sz w:val="18"/>
                      <w:szCs w:val="18"/>
                    </w:rPr>
                    <w:t>1</w:t>
                  </w:r>
                  <w:r>
                    <w:rPr>
                      <w:rFonts w:hint="eastAsia" w:cs="Times New Roman"/>
                      <w:kern w:val="0"/>
                      <w:sz w:val="18"/>
                      <w:szCs w:val="18"/>
                    </w:rPr>
                    <w:t>个点位</w:t>
                  </w:r>
                </w:p>
              </w:tc>
              <w:tc>
                <w:tcPr>
                  <w:tcW w:w="1054" w:type="pct"/>
                  <w:vAlign w:val="center"/>
                </w:tcPr>
                <w:p>
                  <w:pPr>
                    <w:jc w:val="center"/>
                    <w:rPr>
                      <w:rFonts w:cs="Times New Roman"/>
                      <w:kern w:val="0"/>
                      <w:sz w:val="18"/>
                      <w:szCs w:val="18"/>
                      <w:highlight w:val="yellow"/>
                    </w:rPr>
                  </w:pPr>
                  <w:r>
                    <w:rPr>
                      <w:rFonts w:cs="Times New Roman"/>
                      <w:kern w:val="0"/>
                      <w:sz w:val="18"/>
                      <w:szCs w:val="18"/>
                    </w:rPr>
                    <w:t>工程竣工环保验收时开展1次监测，建议运行期定期开展监测</w:t>
                  </w:r>
                </w:p>
              </w:tc>
              <w:tc>
                <w:tcPr>
                  <w:tcW w:w="486" w:type="pct"/>
                  <w:vMerge w:val="continue"/>
                  <w:vAlign w:val="center"/>
                </w:tcPr>
                <w:p>
                  <w:pPr>
                    <w:jc w:val="center"/>
                    <w:rPr>
                      <w:rFonts w:cs="Times New Roman"/>
                      <w:kern w:val="0"/>
                      <w:sz w:val="18"/>
                      <w:szCs w:val="18"/>
                      <w:highlight w:val="yellow"/>
                    </w:rPr>
                  </w:pPr>
                </w:p>
              </w:tc>
              <w:tc>
                <w:tcPr>
                  <w:tcW w:w="567" w:type="pct"/>
                  <w:vMerge w:val="continue"/>
                  <w:vAlign w:val="center"/>
                </w:tcPr>
                <w:p>
                  <w:pPr>
                    <w:jc w:val="center"/>
                    <w:rPr>
                      <w:rFonts w:cs="Times New Roman"/>
                      <w:kern w:val="0"/>
                      <w:sz w:val="18"/>
                      <w:szCs w:val="18"/>
                      <w:highlight w:val="yellow"/>
                    </w:rPr>
                  </w:pPr>
                </w:p>
              </w:tc>
              <w:tc>
                <w:tcPr>
                  <w:tcW w:w="993" w:type="pct"/>
                  <w:vAlign w:val="center"/>
                </w:tcPr>
                <w:p>
                  <w:pPr>
                    <w:jc w:val="center"/>
                    <w:rPr>
                      <w:rFonts w:cs="Times New Roman"/>
                      <w:kern w:val="0"/>
                      <w:sz w:val="18"/>
                      <w:szCs w:val="18"/>
                    </w:rPr>
                  </w:pPr>
                  <w:r>
                    <w:rPr>
                      <w:rFonts w:cs="Times New Roman"/>
                      <w:kern w:val="0"/>
                      <w:sz w:val="18"/>
                      <w:szCs w:val="18"/>
                    </w:rPr>
                    <w:t>《交流输变电工程电磁环境监测方法（试行）》</w:t>
                  </w:r>
                </w:p>
                <w:p>
                  <w:pPr>
                    <w:jc w:val="center"/>
                    <w:rPr>
                      <w:rFonts w:cs="Times New Roman"/>
                      <w:kern w:val="0"/>
                      <w:sz w:val="18"/>
                      <w:szCs w:val="18"/>
                      <w:highlight w:val="yellow"/>
                    </w:rPr>
                  </w:pPr>
                  <w:r>
                    <w:rPr>
                      <w:rFonts w:cs="Times New Roman"/>
                      <w:kern w:val="0"/>
                      <w:sz w:val="18"/>
                      <w:szCs w:val="18"/>
                    </w:rPr>
                    <w:t>（HJ681-2013）</w:t>
                  </w:r>
                </w:p>
              </w:tc>
              <w:tc>
                <w:tcPr>
                  <w:tcW w:w="629" w:type="pct"/>
                  <w:vAlign w:val="center"/>
                </w:tcPr>
                <w:p>
                  <w:pPr>
                    <w:pStyle w:val="2"/>
                  </w:pPr>
                  <w:r>
                    <w:rPr>
                      <w:rFonts w:hint="eastAsia" w:cs="Times New Roman"/>
                      <w:kern w:val="0"/>
                      <w:sz w:val="18"/>
                      <w:szCs w:val="18"/>
                    </w:rPr>
                    <w:t>工频电场强度控制限值公众曝露区</w:t>
                  </w:r>
                  <w:r>
                    <w:rPr>
                      <w:rFonts w:cs="Times New Roman"/>
                      <w:kern w:val="0"/>
                      <w:sz w:val="18"/>
                      <w:szCs w:val="18"/>
                    </w:rPr>
                    <w:t>4kV/m</w:t>
                  </w:r>
                  <w:r>
                    <w:rPr>
                      <w:rFonts w:hint="eastAsia" w:cs="Times New Roman"/>
                      <w:kern w:val="0"/>
                      <w:sz w:val="18"/>
                      <w:szCs w:val="18"/>
                    </w:rPr>
                    <w:t>、耕养区</w:t>
                  </w:r>
                  <w:r>
                    <w:rPr>
                      <w:rFonts w:cs="Times New Roman"/>
                      <w:kern w:val="0"/>
                      <w:sz w:val="18"/>
                      <w:szCs w:val="18"/>
                    </w:rPr>
                    <w:t>10kV/m</w:t>
                  </w:r>
                  <w:r>
                    <w:rPr>
                      <w:rFonts w:hint="eastAsia" w:cs="Times New Roman"/>
                      <w:kern w:val="0"/>
                      <w:sz w:val="18"/>
                      <w:szCs w:val="18"/>
                    </w:rPr>
                    <w:t>，工频磁感应强度控制限值</w:t>
                  </w:r>
                  <w:r>
                    <w:rPr>
                      <w:rFonts w:cs="Times New Roman"/>
                      <w:kern w:val="0"/>
                      <w:sz w:val="18"/>
                      <w:szCs w:val="18"/>
                    </w:rPr>
                    <w:t>100μT</w:t>
                  </w:r>
                </w:p>
              </w:tc>
            </w:tr>
            <w:bookmarkEnd w:id="35"/>
          </w:tbl>
          <w:p>
            <w:pPr>
              <w:pStyle w:val="24"/>
              <w:ind w:firstLine="420"/>
              <w:rPr>
                <w:rFonts w:cs="Times New Roman"/>
              </w:rPr>
            </w:pPr>
            <w:r>
              <w:rPr>
                <w:rFonts w:cs="Times New Roman"/>
              </w:rPr>
              <w:t>本</w:t>
            </w:r>
            <w:r>
              <w:rPr>
                <w:rFonts w:hint="eastAsia" w:cs="Times New Roman"/>
              </w:rPr>
              <w:t>项目</w:t>
            </w:r>
            <w:r>
              <w:rPr>
                <w:rFonts w:cs="Times New Roman"/>
              </w:rPr>
              <w:t>环境保护投资包括施工期与运行期的电磁环境、水环境、生态环境环境空气保护和固体废弃物处置等。工程可研审定动态总投资1263万元，各项环保投资合计</w:t>
            </w:r>
            <w:r>
              <w:rPr>
                <w:rFonts w:hint="eastAsia" w:cs="Times New Roman"/>
              </w:rPr>
              <w:t>3</w:t>
            </w:r>
            <w:r>
              <w:rPr>
                <w:rFonts w:cs="Times New Roman"/>
              </w:rPr>
              <w:t>0万元，约占2.38%，工程环保投资估算详见表5.1</w:t>
            </w:r>
            <w:r>
              <w:rPr>
                <w:rFonts w:hint="eastAsia" w:cs="Times New Roman"/>
              </w:rPr>
              <w:t>3</w:t>
            </w:r>
            <w:r>
              <w:rPr>
                <w:rFonts w:cs="Times New Roman"/>
              </w:rPr>
              <w:t>-2。</w:t>
            </w:r>
          </w:p>
          <w:p>
            <w:pPr>
              <w:jc w:val="center"/>
              <w:rPr>
                <w:rFonts w:eastAsia="黑体" w:cs="Times New Roman"/>
                <w:sz w:val="18"/>
                <w:szCs w:val="18"/>
              </w:rPr>
            </w:pPr>
            <w:r>
              <w:rPr>
                <w:rFonts w:eastAsia="黑体" w:cs="Times New Roman"/>
                <w:sz w:val="18"/>
                <w:szCs w:val="18"/>
              </w:rPr>
              <w:t>环保投资估算表</w:t>
            </w:r>
          </w:p>
          <w:p>
            <w:pPr>
              <w:rPr>
                <w:rFonts w:eastAsia="黑体" w:cs="Times New Roman"/>
                <w:b/>
              </w:rPr>
            </w:pPr>
            <w:r>
              <w:rPr>
                <w:rFonts w:eastAsia="黑体" w:cs="Times New Roman"/>
                <w:sz w:val="18"/>
                <w:szCs w:val="18"/>
              </w:rPr>
              <w:t>表5.1</w:t>
            </w:r>
            <w:r>
              <w:rPr>
                <w:rFonts w:hint="eastAsia" w:eastAsia="黑体" w:cs="Times New Roman"/>
                <w:sz w:val="18"/>
                <w:szCs w:val="18"/>
              </w:rPr>
              <w:t>3</w:t>
            </w:r>
            <w:r>
              <w:rPr>
                <w:rFonts w:eastAsia="黑体" w:cs="Times New Roman"/>
                <w:sz w:val="18"/>
                <w:szCs w:val="18"/>
              </w:rPr>
              <w:t>-2                                                                          单位：万元</w:t>
            </w:r>
          </w:p>
          <w:tbl>
            <w:tblPr>
              <w:tblStyle w:val="26"/>
              <w:tblW w:w="8539"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8"/>
              <w:gridCol w:w="1225"/>
              <w:gridCol w:w="49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Align w:val="center"/>
                </w:tcPr>
                <w:p>
                  <w:pPr>
                    <w:jc w:val="center"/>
                    <w:rPr>
                      <w:rFonts w:eastAsia="黑体" w:cs="Times New Roman"/>
                      <w:b/>
                    </w:rPr>
                  </w:pPr>
                  <w:r>
                    <w:rPr>
                      <w:rFonts w:cs="Times New Roman"/>
                      <w:sz w:val="18"/>
                      <w:szCs w:val="21"/>
                    </w:rPr>
                    <w:t>项目</w:t>
                  </w:r>
                </w:p>
              </w:tc>
              <w:tc>
                <w:tcPr>
                  <w:tcW w:w="1225" w:type="dxa"/>
                  <w:vAlign w:val="center"/>
                </w:tcPr>
                <w:p>
                  <w:pPr>
                    <w:jc w:val="center"/>
                    <w:rPr>
                      <w:rFonts w:eastAsia="黑体" w:cs="Times New Roman"/>
                      <w:b/>
                    </w:rPr>
                  </w:pPr>
                  <w:r>
                    <w:rPr>
                      <w:rFonts w:cs="Times New Roman"/>
                      <w:sz w:val="18"/>
                      <w:szCs w:val="21"/>
                    </w:rPr>
                    <w:t>费用（万元）</w:t>
                  </w:r>
                </w:p>
              </w:tc>
              <w:tc>
                <w:tcPr>
                  <w:tcW w:w="4966" w:type="dxa"/>
                  <w:vAlign w:val="center"/>
                </w:tcPr>
                <w:p>
                  <w:pPr>
                    <w:jc w:val="center"/>
                    <w:rPr>
                      <w:rFonts w:eastAsia="黑体" w:cs="Times New Roman"/>
                      <w:b/>
                    </w:rPr>
                  </w:pPr>
                  <w:r>
                    <w:rPr>
                      <w:rFonts w:cs="Times New Roman"/>
                      <w:sz w:val="18"/>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Merge w:val="restart"/>
                  <w:vAlign w:val="center"/>
                </w:tcPr>
                <w:p>
                  <w:pPr>
                    <w:jc w:val="center"/>
                    <w:rPr>
                      <w:rFonts w:eastAsia="黑体" w:cs="Times New Roman"/>
                      <w:b/>
                    </w:rPr>
                  </w:pPr>
                  <w:r>
                    <w:rPr>
                      <w:rFonts w:cs="Times New Roman"/>
                      <w:sz w:val="18"/>
                      <w:szCs w:val="21"/>
                    </w:rPr>
                    <w:t>水环境</w:t>
                  </w:r>
                </w:p>
              </w:tc>
              <w:tc>
                <w:tcPr>
                  <w:tcW w:w="1225" w:type="dxa"/>
                  <w:vMerge w:val="restart"/>
                  <w:vAlign w:val="center"/>
                </w:tcPr>
                <w:p>
                  <w:pPr>
                    <w:jc w:val="center"/>
                    <w:rPr>
                      <w:rFonts w:eastAsia="黑体" w:cs="Times New Roman"/>
                      <w:b/>
                    </w:rPr>
                  </w:pPr>
                  <w:r>
                    <w:rPr>
                      <w:rFonts w:cs="Times New Roman"/>
                      <w:sz w:val="18"/>
                      <w:szCs w:val="21"/>
                    </w:rPr>
                    <w:t>5</w:t>
                  </w:r>
                </w:p>
              </w:tc>
              <w:tc>
                <w:tcPr>
                  <w:tcW w:w="4966" w:type="dxa"/>
                  <w:vAlign w:val="center"/>
                </w:tcPr>
                <w:p>
                  <w:pPr>
                    <w:jc w:val="center"/>
                    <w:rPr>
                      <w:rFonts w:eastAsia="黑体" w:cs="Times New Roman"/>
                      <w:b/>
                    </w:rPr>
                  </w:pPr>
                  <w:r>
                    <w:rPr>
                      <w:rFonts w:cs="Times New Roman"/>
                      <w:sz w:val="18"/>
                      <w:szCs w:val="21"/>
                    </w:rPr>
                    <w:t>施工期隔油沉淀池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Merge w:val="continue"/>
                  <w:vAlign w:val="center"/>
                </w:tcPr>
                <w:p>
                  <w:pPr>
                    <w:jc w:val="center"/>
                    <w:rPr>
                      <w:rFonts w:eastAsia="黑体" w:cs="Times New Roman"/>
                      <w:b/>
                    </w:rPr>
                  </w:pPr>
                </w:p>
              </w:tc>
              <w:tc>
                <w:tcPr>
                  <w:tcW w:w="1225" w:type="dxa"/>
                  <w:vMerge w:val="continue"/>
                  <w:vAlign w:val="center"/>
                </w:tcPr>
                <w:p>
                  <w:pPr>
                    <w:jc w:val="center"/>
                    <w:rPr>
                      <w:rFonts w:eastAsia="黑体" w:cs="Times New Roman"/>
                      <w:b/>
                    </w:rPr>
                  </w:pPr>
                </w:p>
              </w:tc>
              <w:tc>
                <w:tcPr>
                  <w:tcW w:w="4966" w:type="dxa"/>
                  <w:vAlign w:val="center"/>
                </w:tcPr>
                <w:p>
                  <w:pPr>
                    <w:jc w:val="center"/>
                    <w:rPr>
                      <w:rFonts w:eastAsia="黑体" w:cs="Times New Roman"/>
                      <w:b/>
                    </w:rPr>
                  </w:pPr>
                  <w:r>
                    <w:rPr>
                      <w:rFonts w:cs="Times New Roman"/>
                      <w:sz w:val="18"/>
                      <w:szCs w:val="21"/>
                    </w:rPr>
                    <w:t>施工期衬砌泥浆池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Align w:val="center"/>
                </w:tcPr>
                <w:p>
                  <w:pPr>
                    <w:jc w:val="center"/>
                    <w:rPr>
                      <w:rFonts w:cs="Times New Roman"/>
                      <w:sz w:val="18"/>
                      <w:szCs w:val="21"/>
                    </w:rPr>
                  </w:pPr>
                  <w:r>
                    <w:rPr>
                      <w:rFonts w:hint="eastAsia" w:cs="Times New Roman"/>
                      <w:sz w:val="18"/>
                      <w:szCs w:val="21"/>
                    </w:rPr>
                    <w:t>生态环境</w:t>
                  </w:r>
                </w:p>
              </w:tc>
              <w:tc>
                <w:tcPr>
                  <w:tcW w:w="1225" w:type="dxa"/>
                  <w:vAlign w:val="center"/>
                </w:tcPr>
                <w:p>
                  <w:pPr>
                    <w:jc w:val="center"/>
                    <w:rPr>
                      <w:rFonts w:cs="Times New Roman"/>
                      <w:sz w:val="18"/>
                      <w:szCs w:val="21"/>
                    </w:rPr>
                  </w:pPr>
                  <w:r>
                    <w:rPr>
                      <w:rFonts w:cs="Times New Roman"/>
                      <w:sz w:val="18"/>
                      <w:szCs w:val="21"/>
                    </w:rPr>
                    <w:t>10</w:t>
                  </w:r>
                </w:p>
              </w:tc>
              <w:tc>
                <w:tcPr>
                  <w:tcW w:w="4966" w:type="dxa"/>
                  <w:vAlign w:val="center"/>
                </w:tcPr>
                <w:p>
                  <w:pPr>
                    <w:jc w:val="center"/>
                    <w:rPr>
                      <w:rFonts w:cs="Times New Roman"/>
                      <w:sz w:val="18"/>
                      <w:szCs w:val="21"/>
                    </w:rPr>
                  </w:pPr>
                  <w:r>
                    <w:rPr>
                      <w:rFonts w:cs="Times New Roman"/>
                      <w:sz w:val="18"/>
                      <w:szCs w:val="21"/>
                    </w:rPr>
                    <w:t>施工场地生态恢复、绿化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Align w:val="center"/>
                </w:tcPr>
                <w:p>
                  <w:pPr>
                    <w:jc w:val="center"/>
                    <w:rPr>
                      <w:rFonts w:eastAsia="黑体" w:cs="Times New Roman"/>
                      <w:b/>
                    </w:rPr>
                  </w:pPr>
                  <w:r>
                    <w:rPr>
                      <w:rFonts w:cs="Times New Roman"/>
                      <w:sz w:val="18"/>
                      <w:szCs w:val="21"/>
                    </w:rPr>
                    <w:t>环境空气</w:t>
                  </w:r>
                </w:p>
              </w:tc>
              <w:tc>
                <w:tcPr>
                  <w:tcW w:w="1225" w:type="dxa"/>
                  <w:vAlign w:val="center"/>
                </w:tcPr>
                <w:p>
                  <w:pPr>
                    <w:jc w:val="center"/>
                    <w:rPr>
                      <w:rFonts w:eastAsia="黑体" w:cs="Times New Roman"/>
                      <w:b/>
                    </w:rPr>
                  </w:pPr>
                  <w:r>
                    <w:rPr>
                      <w:rFonts w:cs="Times New Roman"/>
                      <w:sz w:val="18"/>
                      <w:szCs w:val="21"/>
                    </w:rPr>
                    <w:t>1</w:t>
                  </w:r>
                </w:p>
              </w:tc>
              <w:tc>
                <w:tcPr>
                  <w:tcW w:w="4966" w:type="dxa"/>
                  <w:vAlign w:val="center"/>
                </w:tcPr>
                <w:p>
                  <w:pPr>
                    <w:jc w:val="center"/>
                    <w:rPr>
                      <w:rFonts w:eastAsia="黑体" w:cs="Times New Roman"/>
                      <w:b/>
                    </w:rPr>
                  </w:pPr>
                  <w:r>
                    <w:rPr>
                      <w:rFonts w:cs="Times New Roman"/>
                      <w:sz w:val="18"/>
                      <w:szCs w:val="21"/>
                    </w:rPr>
                    <w:t>场地清扫和洒水喷雾抑尘等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Merge w:val="restart"/>
                  <w:vAlign w:val="center"/>
                </w:tcPr>
                <w:p>
                  <w:pPr>
                    <w:jc w:val="center"/>
                    <w:rPr>
                      <w:rFonts w:eastAsia="黑体" w:cs="Times New Roman"/>
                      <w:b/>
                    </w:rPr>
                  </w:pPr>
                  <w:r>
                    <w:rPr>
                      <w:rFonts w:cs="Times New Roman"/>
                      <w:sz w:val="18"/>
                      <w:szCs w:val="21"/>
                    </w:rPr>
                    <w:t>固体废物</w:t>
                  </w:r>
                </w:p>
              </w:tc>
              <w:tc>
                <w:tcPr>
                  <w:tcW w:w="1225" w:type="dxa"/>
                  <w:vMerge w:val="restart"/>
                  <w:vAlign w:val="center"/>
                </w:tcPr>
                <w:p>
                  <w:pPr>
                    <w:jc w:val="center"/>
                    <w:rPr>
                      <w:rFonts w:eastAsia="黑体" w:cs="Times New Roman"/>
                      <w:b/>
                    </w:rPr>
                  </w:pPr>
                  <w:r>
                    <w:rPr>
                      <w:rFonts w:cs="Times New Roman"/>
                      <w:sz w:val="18"/>
                      <w:szCs w:val="21"/>
                    </w:rPr>
                    <w:t>1</w:t>
                  </w:r>
                </w:p>
              </w:tc>
              <w:tc>
                <w:tcPr>
                  <w:tcW w:w="4966" w:type="dxa"/>
                  <w:vAlign w:val="center"/>
                </w:tcPr>
                <w:p>
                  <w:pPr>
                    <w:jc w:val="center"/>
                    <w:rPr>
                      <w:rFonts w:eastAsia="黑体" w:cs="Times New Roman"/>
                      <w:b/>
                    </w:rPr>
                  </w:pPr>
                  <w:r>
                    <w:rPr>
                      <w:rFonts w:cs="Times New Roman"/>
                      <w:sz w:val="18"/>
                      <w:szCs w:val="21"/>
                    </w:rPr>
                    <w:t>垃圾收集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Merge w:val="continue"/>
                  <w:vAlign w:val="center"/>
                </w:tcPr>
                <w:p>
                  <w:pPr>
                    <w:jc w:val="center"/>
                    <w:rPr>
                      <w:rFonts w:eastAsia="黑体" w:cs="Times New Roman"/>
                      <w:b/>
                    </w:rPr>
                  </w:pPr>
                </w:p>
              </w:tc>
              <w:tc>
                <w:tcPr>
                  <w:tcW w:w="1225" w:type="dxa"/>
                  <w:vMerge w:val="continue"/>
                  <w:vAlign w:val="center"/>
                </w:tcPr>
                <w:p>
                  <w:pPr>
                    <w:jc w:val="center"/>
                    <w:rPr>
                      <w:rFonts w:eastAsia="黑体" w:cs="Times New Roman"/>
                      <w:b/>
                    </w:rPr>
                  </w:pPr>
                </w:p>
              </w:tc>
              <w:tc>
                <w:tcPr>
                  <w:tcW w:w="4966" w:type="dxa"/>
                  <w:vAlign w:val="center"/>
                </w:tcPr>
                <w:p>
                  <w:pPr>
                    <w:jc w:val="center"/>
                    <w:rPr>
                      <w:rFonts w:eastAsia="黑体" w:cs="Times New Roman"/>
                      <w:b/>
                    </w:rPr>
                  </w:pPr>
                  <w:r>
                    <w:rPr>
                      <w:rFonts w:cs="Times New Roman"/>
                      <w:sz w:val="18"/>
                      <w:szCs w:val="21"/>
                    </w:rPr>
                    <w:t>垃圾清运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Align w:val="center"/>
                </w:tcPr>
                <w:p>
                  <w:pPr>
                    <w:jc w:val="center"/>
                    <w:rPr>
                      <w:rFonts w:eastAsia="黑体" w:cs="Times New Roman"/>
                      <w:b/>
                    </w:rPr>
                  </w:pPr>
                  <w:r>
                    <w:rPr>
                      <w:rFonts w:cs="Times New Roman"/>
                      <w:sz w:val="18"/>
                      <w:szCs w:val="21"/>
                    </w:rPr>
                    <w:t>电磁环境</w:t>
                  </w:r>
                </w:p>
              </w:tc>
              <w:tc>
                <w:tcPr>
                  <w:tcW w:w="1225" w:type="dxa"/>
                  <w:vAlign w:val="center"/>
                </w:tcPr>
                <w:p>
                  <w:pPr>
                    <w:jc w:val="center"/>
                    <w:rPr>
                      <w:rFonts w:eastAsia="黑体" w:cs="Times New Roman"/>
                      <w:b/>
                    </w:rPr>
                  </w:pPr>
                  <w:r>
                    <w:rPr>
                      <w:rFonts w:cs="Times New Roman"/>
                      <w:sz w:val="18"/>
                      <w:szCs w:val="21"/>
                    </w:rPr>
                    <w:t>/</w:t>
                  </w:r>
                </w:p>
              </w:tc>
              <w:tc>
                <w:tcPr>
                  <w:tcW w:w="4966" w:type="dxa"/>
                  <w:vAlign w:val="center"/>
                </w:tcPr>
                <w:p>
                  <w:pPr>
                    <w:jc w:val="center"/>
                    <w:rPr>
                      <w:rFonts w:eastAsia="黑体" w:cs="Times New Roman"/>
                      <w:b/>
                    </w:rPr>
                  </w:pPr>
                  <w:r>
                    <w:rPr>
                      <w:rFonts w:cs="Times New Roman"/>
                      <w:sz w:val="18"/>
                      <w:szCs w:val="21"/>
                    </w:rPr>
                    <w:t>加强日常运行维护和管理</w:t>
                  </w:r>
                  <w:r>
                    <w:rPr>
                      <w:rFonts w:hint="eastAsia" w:cs="Times New Roman"/>
                      <w:sz w:val="18"/>
                      <w:szCs w:val="21"/>
                    </w:rPr>
                    <w:t>（</w:t>
                  </w:r>
                  <w:r>
                    <w:rPr>
                      <w:rFonts w:hint="eastAsia"/>
                      <w:sz w:val="18"/>
                      <w:szCs w:val="21"/>
                    </w:rPr>
                    <w:t>纳入工程投资中的运行维护费用）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Align w:val="center"/>
                </w:tcPr>
                <w:p>
                  <w:pPr>
                    <w:jc w:val="center"/>
                    <w:rPr>
                      <w:rFonts w:eastAsia="黑体" w:cs="Times New Roman"/>
                      <w:b/>
                    </w:rPr>
                  </w:pPr>
                  <w:r>
                    <w:rPr>
                      <w:rFonts w:cs="Times New Roman"/>
                      <w:sz w:val="18"/>
                      <w:szCs w:val="21"/>
                    </w:rPr>
                    <w:t>声环境</w:t>
                  </w:r>
                </w:p>
              </w:tc>
              <w:tc>
                <w:tcPr>
                  <w:tcW w:w="1225" w:type="dxa"/>
                  <w:vAlign w:val="center"/>
                </w:tcPr>
                <w:p>
                  <w:pPr>
                    <w:jc w:val="center"/>
                    <w:rPr>
                      <w:rFonts w:eastAsia="黑体" w:cs="Times New Roman"/>
                      <w:b/>
                    </w:rPr>
                  </w:pPr>
                  <w:r>
                    <w:rPr>
                      <w:rFonts w:cs="Times New Roman"/>
                      <w:sz w:val="18"/>
                      <w:szCs w:val="21"/>
                    </w:rPr>
                    <w:t>1</w:t>
                  </w:r>
                </w:p>
              </w:tc>
              <w:tc>
                <w:tcPr>
                  <w:tcW w:w="4966" w:type="dxa"/>
                  <w:vAlign w:val="center"/>
                </w:tcPr>
                <w:p>
                  <w:pPr>
                    <w:jc w:val="center"/>
                    <w:rPr>
                      <w:rFonts w:eastAsia="黑体" w:cs="Times New Roman"/>
                      <w:b/>
                    </w:rPr>
                  </w:pPr>
                  <w:r>
                    <w:rPr>
                      <w:rFonts w:cs="Times New Roman"/>
                      <w:sz w:val="18"/>
                      <w:szCs w:val="21"/>
                    </w:rPr>
                    <w:t>施工围挡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Merge w:val="restart"/>
                  <w:vAlign w:val="center"/>
                </w:tcPr>
                <w:p>
                  <w:pPr>
                    <w:jc w:val="center"/>
                    <w:rPr>
                      <w:rFonts w:eastAsia="黑体" w:cs="Times New Roman"/>
                      <w:b/>
                    </w:rPr>
                  </w:pPr>
                  <w:r>
                    <w:rPr>
                      <w:rFonts w:cs="Times New Roman"/>
                      <w:sz w:val="18"/>
                      <w:szCs w:val="21"/>
                    </w:rPr>
                    <w:t>其它</w:t>
                  </w:r>
                </w:p>
              </w:tc>
              <w:tc>
                <w:tcPr>
                  <w:tcW w:w="1225" w:type="dxa"/>
                  <w:vMerge w:val="restart"/>
                  <w:vAlign w:val="center"/>
                </w:tcPr>
                <w:p>
                  <w:pPr>
                    <w:jc w:val="center"/>
                    <w:rPr>
                      <w:rFonts w:eastAsia="黑体" w:cs="Times New Roman"/>
                      <w:b/>
                    </w:rPr>
                  </w:pPr>
                  <w:r>
                    <w:rPr>
                      <w:rFonts w:hint="eastAsia" w:cs="Times New Roman"/>
                      <w:sz w:val="18"/>
                      <w:szCs w:val="21"/>
                    </w:rPr>
                    <w:t>12</w:t>
                  </w:r>
                </w:p>
              </w:tc>
              <w:tc>
                <w:tcPr>
                  <w:tcW w:w="4966" w:type="dxa"/>
                  <w:vAlign w:val="center"/>
                </w:tcPr>
                <w:p>
                  <w:pPr>
                    <w:jc w:val="center"/>
                    <w:rPr>
                      <w:rFonts w:eastAsia="黑体" w:cs="Times New Roman"/>
                      <w:b/>
                    </w:rPr>
                  </w:pPr>
                  <w:r>
                    <w:rPr>
                      <w:rFonts w:cs="Times New Roman"/>
                      <w:sz w:val="18"/>
                      <w:szCs w:val="21"/>
                    </w:rPr>
                    <w:t>电磁环境监测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Merge w:val="continue"/>
                  <w:vAlign w:val="center"/>
                </w:tcPr>
                <w:p>
                  <w:pPr>
                    <w:jc w:val="center"/>
                    <w:rPr>
                      <w:rFonts w:eastAsia="黑体" w:cs="Times New Roman"/>
                      <w:b/>
                    </w:rPr>
                  </w:pPr>
                </w:p>
              </w:tc>
              <w:tc>
                <w:tcPr>
                  <w:tcW w:w="1225" w:type="dxa"/>
                  <w:vMerge w:val="continue"/>
                  <w:vAlign w:val="center"/>
                </w:tcPr>
                <w:p>
                  <w:pPr>
                    <w:jc w:val="center"/>
                    <w:rPr>
                      <w:rFonts w:eastAsia="黑体" w:cs="Times New Roman"/>
                      <w:b/>
                    </w:rPr>
                  </w:pPr>
                </w:p>
              </w:tc>
              <w:tc>
                <w:tcPr>
                  <w:tcW w:w="4966" w:type="dxa"/>
                  <w:vAlign w:val="center"/>
                </w:tcPr>
                <w:p>
                  <w:pPr>
                    <w:jc w:val="center"/>
                    <w:rPr>
                      <w:rFonts w:eastAsia="黑体" w:cs="Times New Roman"/>
                      <w:b/>
                    </w:rPr>
                  </w:pPr>
                  <w:r>
                    <w:rPr>
                      <w:rFonts w:cs="Times New Roman"/>
                      <w:sz w:val="18"/>
                      <w:szCs w:val="21"/>
                    </w:rPr>
                    <w:t>声环境监测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Merge w:val="continue"/>
                  <w:vAlign w:val="center"/>
                </w:tcPr>
                <w:p>
                  <w:pPr>
                    <w:jc w:val="center"/>
                    <w:rPr>
                      <w:rFonts w:eastAsia="黑体" w:cs="Times New Roman"/>
                      <w:b/>
                    </w:rPr>
                  </w:pPr>
                </w:p>
              </w:tc>
              <w:tc>
                <w:tcPr>
                  <w:tcW w:w="1225" w:type="dxa"/>
                  <w:vMerge w:val="continue"/>
                  <w:vAlign w:val="center"/>
                </w:tcPr>
                <w:p>
                  <w:pPr>
                    <w:jc w:val="center"/>
                    <w:rPr>
                      <w:rFonts w:eastAsia="黑体" w:cs="Times New Roman"/>
                      <w:b/>
                    </w:rPr>
                  </w:pPr>
                </w:p>
              </w:tc>
              <w:tc>
                <w:tcPr>
                  <w:tcW w:w="4966" w:type="dxa"/>
                  <w:vAlign w:val="center"/>
                </w:tcPr>
                <w:p>
                  <w:pPr>
                    <w:jc w:val="center"/>
                    <w:rPr>
                      <w:rFonts w:eastAsia="黑体" w:cs="Times New Roman"/>
                      <w:b/>
                    </w:rPr>
                  </w:pPr>
                  <w:r>
                    <w:rPr>
                      <w:rFonts w:cs="Times New Roman"/>
                      <w:sz w:val="18"/>
                      <w:szCs w:val="21"/>
                    </w:rPr>
                    <w:t>竣工环保验收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8" w:type="dxa"/>
                  <w:vAlign w:val="center"/>
                </w:tcPr>
                <w:p>
                  <w:pPr>
                    <w:jc w:val="center"/>
                    <w:rPr>
                      <w:rFonts w:eastAsia="黑体" w:cs="Times New Roman"/>
                      <w:b/>
                    </w:rPr>
                  </w:pPr>
                  <w:r>
                    <w:rPr>
                      <w:rFonts w:cs="Times New Roman"/>
                      <w:sz w:val="18"/>
                      <w:szCs w:val="21"/>
                    </w:rPr>
                    <w:t>合计</w:t>
                  </w:r>
                </w:p>
              </w:tc>
              <w:tc>
                <w:tcPr>
                  <w:tcW w:w="1225" w:type="dxa"/>
                  <w:vAlign w:val="center"/>
                </w:tcPr>
                <w:p>
                  <w:pPr>
                    <w:jc w:val="center"/>
                    <w:rPr>
                      <w:rFonts w:eastAsia="黑体" w:cs="Times New Roman"/>
                      <w:b/>
                    </w:rPr>
                  </w:pPr>
                  <w:r>
                    <w:rPr>
                      <w:rFonts w:cs="Times New Roman"/>
                      <w:sz w:val="18"/>
                      <w:szCs w:val="21"/>
                    </w:rPr>
                    <w:t>30</w:t>
                  </w:r>
                </w:p>
              </w:tc>
              <w:tc>
                <w:tcPr>
                  <w:tcW w:w="4966" w:type="dxa"/>
                  <w:vAlign w:val="center"/>
                </w:tcPr>
                <w:p>
                  <w:pPr>
                    <w:jc w:val="center"/>
                    <w:rPr>
                      <w:rFonts w:eastAsia="黑体" w:cs="Times New Roman"/>
                      <w:b/>
                    </w:rPr>
                  </w:pPr>
                  <w:r>
                    <w:rPr>
                      <w:rFonts w:cs="Times New Roman"/>
                      <w:sz w:val="18"/>
                      <w:szCs w:val="21"/>
                    </w:rPr>
                    <w:t>项目总投资1263万元，环保投资占总投资的2.38%</w:t>
                  </w:r>
                </w:p>
              </w:tc>
            </w:tr>
          </w:tbl>
          <w:p>
            <w:pPr>
              <w:rPr>
                <w:rFonts w:eastAsia="黑体" w:cs="Times New Roman"/>
                <w:b/>
                <w:highlight w:val="yellow"/>
              </w:rPr>
            </w:pPr>
          </w:p>
        </w:tc>
      </w:tr>
    </w:tbl>
    <w:p>
      <w:pPr>
        <w:rPr>
          <w:rFonts w:cs="Times New Roman"/>
          <w:highlight w:val="yellow"/>
        </w:rPr>
        <w:sectPr>
          <w:pgSz w:w="11906" w:h="16838"/>
          <w:pgMar w:top="1418" w:right="1418" w:bottom="1418" w:left="1418" w:header="851" w:footer="992" w:gutter="0"/>
          <w:cols w:space="425" w:num="1"/>
          <w:docGrid w:type="lines" w:linePitch="312" w:charSpace="0"/>
        </w:sectPr>
      </w:pPr>
    </w:p>
    <w:p>
      <w:pPr>
        <w:keepNext/>
        <w:spacing w:line="0" w:lineRule="atLeast"/>
        <w:jc w:val="center"/>
        <w:outlineLvl w:val="0"/>
        <w:rPr>
          <w:rFonts w:eastAsia="黑体" w:cs="Times New Roman"/>
          <w:bCs/>
          <w:sz w:val="28"/>
          <w:szCs w:val="28"/>
        </w:rPr>
      </w:pPr>
      <w:bookmarkStart w:id="36" w:name="_Toc69466523"/>
      <w:bookmarkStart w:id="37" w:name="_Toc103786371"/>
      <w:r>
        <w:rPr>
          <w:rFonts w:eastAsia="黑体" w:cs="Times New Roman"/>
          <w:bCs/>
          <w:sz w:val="28"/>
          <w:szCs w:val="28"/>
        </w:rPr>
        <w:t>六、生态环境保护措施监督检查清单</w:t>
      </w:r>
      <w:bookmarkEnd w:id="36"/>
      <w:bookmarkEnd w:id="37"/>
    </w:p>
    <w:tbl>
      <w:tblPr>
        <w:tblStyle w:val="25"/>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759"/>
        <w:gridCol w:w="5446"/>
        <w:gridCol w:w="2266"/>
        <w:gridCol w:w="2932"/>
        <w:gridCol w:w="265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448" w:hRule="atLeast"/>
          <w:jc w:val="center"/>
        </w:trPr>
        <w:tc>
          <w:tcPr>
            <w:tcW w:w="270" w:type="pct"/>
            <w:vMerge w:val="restart"/>
          </w:tcPr>
          <w:p>
            <w:pPr>
              <w:adjustRightInd w:val="0"/>
              <w:snapToGrid w:val="0"/>
              <w:spacing w:before="93" w:beforeLines="30"/>
              <w:jc w:val="right"/>
              <w:outlineLvl w:val="0"/>
              <w:rPr>
                <w:rFonts w:cs="Times New Roman"/>
                <w:sz w:val="18"/>
                <w:szCs w:val="18"/>
              </w:rPr>
            </w:pPr>
            <w:bookmarkStart w:id="38" w:name="_Toc103786372"/>
            <w:bookmarkStart w:id="39" w:name="_Toc69466524"/>
            <w:bookmarkStart w:id="40" w:name="_Toc69413455"/>
            <w:r>
              <w:rPr>
                <w:rFonts w:cs="Times New Roman"/>
                <w:sz w:val="18"/>
                <w:szCs w:val="18"/>
              </w:rPr>
              <w:t>内容</w:t>
            </w:r>
            <w:bookmarkEnd w:id="38"/>
            <w:bookmarkEnd w:id="39"/>
            <w:bookmarkEnd w:id="40"/>
          </w:p>
          <w:p>
            <w:pPr>
              <w:adjustRightInd w:val="0"/>
              <w:snapToGrid w:val="0"/>
              <w:spacing w:line="14" w:lineRule="auto"/>
              <w:outlineLvl w:val="0"/>
              <w:rPr>
                <w:rFonts w:cs="Times New Roman"/>
                <w:sz w:val="18"/>
                <w:szCs w:val="18"/>
              </w:rPr>
            </w:pPr>
          </w:p>
          <w:p>
            <w:pPr>
              <w:adjustRightInd w:val="0"/>
              <w:snapToGrid w:val="0"/>
              <w:spacing w:line="14" w:lineRule="auto"/>
              <w:outlineLvl w:val="0"/>
              <w:rPr>
                <w:rFonts w:cs="Times New Roman"/>
                <w:sz w:val="18"/>
                <w:szCs w:val="18"/>
              </w:rPr>
            </w:pPr>
          </w:p>
          <w:p>
            <w:pPr>
              <w:adjustRightInd w:val="0"/>
              <w:snapToGrid w:val="0"/>
              <w:spacing w:line="14" w:lineRule="auto"/>
              <w:outlineLvl w:val="0"/>
              <w:rPr>
                <w:rFonts w:cs="Times New Roman"/>
                <w:sz w:val="18"/>
                <w:szCs w:val="18"/>
              </w:rPr>
            </w:pPr>
          </w:p>
          <w:p>
            <w:pPr>
              <w:adjustRightInd w:val="0"/>
              <w:snapToGrid w:val="0"/>
              <w:outlineLvl w:val="0"/>
              <w:rPr>
                <w:rFonts w:eastAsia="黑体" w:cs="Times New Roman"/>
                <w:sz w:val="18"/>
                <w:szCs w:val="18"/>
              </w:rPr>
            </w:pPr>
            <w:bookmarkStart w:id="41" w:name="_Toc69466525"/>
            <w:bookmarkStart w:id="42" w:name="_Toc69413456"/>
            <w:bookmarkStart w:id="43" w:name="_Toc103786373"/>
            <w:r>
              <w:rPr>
                <w:rFonts w:cs="Times New Roman"/>
                <w:sz w:val="18"/>
                <w:szCs w:val="18"/>
              </w:rPr>
              <w:t>要素</w:t>
            </w:r>
            <w:bookmarkEnd w:id="41"/>
            <w:bookmarkEnd w:id="42"/>
            <w:bookmarkEnd w:id="43"/>
          </w:p>
        </w:tc>
        <w:tc>
          <w:tcPr>
            <w:tcW w:w="2743" w:type="pct"/>
            <w:gridSpan w:val="2"/>
            <w:vAlign w:val="center"/>
          </w:tcPr>
          <w:p>
            <w:pPr>
              <w:adjustRightInd w:val="0"/>
              <w:snapToGrid w:val="0"/>
              <w:jc w:val="center"/>
              <w:outlineLvl w:val="0"/>
              <w:rPr>
                <w:rFonts w:cs="Times New Roman"/>
                <w:sz w:val="18"/>
                <w:szCs w:val="18"/>
              </w:rPr>
            </w:pPr>
            <w:bookmarkStart w:id="44" w:name="_Toc69466526"/>
            <w:bookmarkStart w:id="45" w:name="_Toc69413457"/>
            <w:bookmarkStart w:id="46" w:name="_Toc103786374"/>
            <w:r>
              <w:rPr>
                <w:rFonts w:cs="Times New Roman"/>
                <w:sz w:val="18"/>
                <w:szCs w:val="18"/>
              </w:rPr>
              <w:t>施工期</w:t>
            </w:r>
            <w:bookmarkEnd w:id="44"/>
            <w:bookmarkEnd w:id="45"/>
            <w:bookmarkEnd w:id="46"/>
          </w:p>
        </w:tc>
        <w:tc>
          <w:tcPr>
            <w:tcW w:w="1987" w:type="pct"/>
            <w:gridSpan w:val="2"/>
            <w:vAlign w:val="center"/>
          </w:tcPr>
          <w:p>
            <w:pPr>
              <w:adjustRightInd w:val="0"/>
              <w:snapToGrid w:val="0"/>
              <w:jc w:val="center"/>
              <w:outlineLvl w:val="0"/>
              <w:rPr>
                <w:rFonts w:cs="Times New Roman"/>
                <w:sz w:val="18"/>
                <w:szCs w:val="18"/>
              </w:rPr>
            </w:pPr>
            <w:bookmarkStart w:id="47" w:name="_Toc103786375"/>
            <w:bookmarkStart w:id="48" w:name="_Toc69413458"/>
            <w:bookmarkStart w:id="49" w:name="_Toc69466527"/>
            <w:r>
              <w:rPr>
                <w:rFonts w:cs="Times New Roman"/>
                <w:sz w:val="18"/>
                <w:szCs w:val="18"/>
              </w:rPr>
              <w:t>运营期</w:t>
            </w:r>
            <w:bookmarkEnd w:id="47"/>
            <w:bookmarkEnd w:id="48"/>
            <w:bookmarkEnd w:id="49"/>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64" w:hRule="atLeast"/>
          <w:jc w:val="center"/>
        </w:trPr>
        <w:tc>
          <w:tcPr>
            <w:tcW w:w="270" w:type="pct"/>
            <w:vMerge w:val="continue"/>
          </w:tcPr>
          <w:p>
            <w:pPr>
              <w:adjustRightInd w:val="0"/>
              <w:snapToGrid w:val="0"/>
              <w:ind w:firstLine="840"/>
              <w:jc w:val="center"/>
              <w:outlineLvl w:val="0"/>
              <w:rPr>
                <w:rFonts w:eastAsia="黑体" w:cs="Times New Roman"/>
                <w:sz w:val="18"/>
                <w:szCs w:val="18"/>
              </w:rPr>
            </w:pPr>
          </w:p>
        </w:tc>
        <w:tc>
          <w:tcPr>
            <w:tcW w:w="1937" w:type="pct"/>
            <w:vAlign w:val="center"/>
          </w:tcPr>
          <w:p>
            <w:pPr>
              <w:adjustRightInd w:val="0"/>
              <w:snapToGrid w:val="0"/>
              <w:jc w:val="center"/>
              <w:outlineLvl w:val="0"/>
              <w:rPr>
                <w:rFonts w:cs="Times New Roman"/>
                <w:sz w:val="18"/>
                <w:szCs w:val="18"/>
              </w:rPr>
            </w:pPr>
            <w:bookmarkStart w:id="50" w:name="_Toc69413459"/>
            <w:bookmarkStart w:id="51" w:name="_Toc69466528"/>
            <w:bookmarkStart w:id="52" w:name="_Toc103786376"/>
            <w:r>
              <w:rPr>
                <w:rFonts w:cs="Times New Roman"/>
                <w:sz w:val="18"/>
                <w:szCs w:val="18"/>
              </w:rPr>
              <w:t>环境保护措施</w:t>
            </w:r>
            <w:bookmarkEnd w:id="50"/>
            <w:bookmarkEnd w:id="51"/>
            <w:bookmarkEnd w:id="52"/>
          </w:p>
        </w:tc>
        <w:tc>
          <w:tcPr>
            <w:tcW w:w="806" w:type="pct"/>
            <w:vAlign w:val="center"/>
          </w:tcPr>
          <w:p>
            <w:pPr>
              <w:adjustRightInd w:val="0"/>
              <w:snapToGrid w:val="0"/>
              <w:jc w:val="center"/>
              <w:outlineLvl w:val="0"/>
              <w:rPr>
                <w:rFonts w:cs="Times New Roman"/>
                <w:sz w:val="18"/>
                <w:szCs w:val="18"/>
              </w:rPr>
            </w:pPr>
            <w:bookmarkStart w:id="53" w:name="_Toc103786377"/>
            <w:bookmarkStart w:id="54" w:name="_Toc69466529"/>
            <w:bookmarkStart w:id="55" w:name="_Toc69413460"/>
            <w:r>
              <w:rPr>
                <w:rFonts w:cs="Times New Roman"/>
                <w:sz w:val="18"/>
                <w:szCs w:val="18"/>
              </w:rPr>
              <w:t>验收要求</w:t>
            </w:r>
            <w:bookmarkEnd w:id="53"/>
            <w:bookmarkEnd w:id="54"/>
            <w:bookmarkEnd w:id="55"/>
          </w:p>
        </w:tc>
        <w:tc>
          <w:tcPr>
            <w:tcW w:w="1043" w:type="pct"/>
            <w:vAlign w:val="center"/>
          </w:tcPr>
          <w:p>
            <w:pPr>
              <w:adjustRightInd w:val="0"/>
              <w:snapToGrid w:val="0"/>
              <w:jc w:val="center"/>
              <w:outlineLvl w:val="0"/>
              <w:rPr>
                <w:rFonts w:cs="Times New Roman"/>
                <w:sz w:val="18"/>
                <w:szCs w:val="18"/>
              </w:rPr>
            </w:pPr>
            <w:bookmarkStart w:id="56" w:name="_Toc69466530"/>
            <w:bookmarkStart w:id="57" w:name="_Toc69413461"/>
            <w:bookmarkStart w:id="58" w:name="_Toc103786378"/>
            <w:r>
              <w:rPr>
                <w:rFonts w:cs="Times New Roman"/>
                <w:sz w:val="18"/>
                <w:szCs w:val="18"/>
              </w:rPr>
              <w:t>环境保护措施</w:t>
            </w:r>
            <w:bookmarkEnd w:id="56"/>
            <w:bookmarkEnd w:id="57"/>
            <w:bookmarkEnd w:id="58"/>
          </w:p>
        </w:tc>
        <w:tc>
          <w:tcPr>
            <w:tcW w:w="944" w:type="pct"/>
            <w:vAlign w:val="center"/>
          </w:tcPr>
          <w:p>
            <w:pPr>
              <w:adjustRightInd w:val="0"/>
              <w:snapToGrid w:val="0"/>
              <w:jc w:val="center"/>
              <w:outlineLvl w:val="0"/>
              <w:rPr>
                <w:rFonts w:cs="Times New Roman"/>
                <w:sz w:val="18"/>
                <w:szCs w:val="18"/>
              </w:rPr>
            </w:pPr>
            <w:bookmarkStart w:id="59" w:name="_Toc69413462"/>
            <w:bookmarkStart w:id="60" w:name="_Toc69466531"/>
            <w:bookmarkStart w:id="61" w:name="_Toc103786379"/>
            <w:r>
              <w:rPr>
                <w:rFonts w:cs="Times New Roman"/>
                <w:sz w:val="18"/>
                <w:szCs w:val="18"/>
              </w:rPr>
              <w:t>验收要求</w:t>
            </w:r>
            <w:bookmarkEnd w:id="59"/>
            <w:bookmarkEnd w:id="60"/>
            <w:bookmarkEnd w:id="61"/>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32"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陆生生态</w:t>
            </w:r>
          </w:p>
        </w:tc>
        <w:tc>
          <w:tcPr>
            <w:tcW w:w="1937" w:type="pct"/>
            <w:vAlign w:val="center"/>
          </w:tcPr>
          <w:p>
            <w:pPr>
              <w:adjustRightInd w:val="0"/>
              <w:snapToGrid w:val="0"/>
              <w:rPr>
                <w:rFonts w:cs="Times New Roman"/>
                <w:sz w:val="18"/>
                <w:szCs w:val="18"/>
                <w:lang w:val="fr-FR"/>
              </w:rPr>
            </w:pPr>
            <w:r>
              <w:rPr>
                <w:rFonts w:cs="Times New Roman"/>
                <w:sz w:val="18"/>
                <w:szCs w:val="18"/>
                <w:lang w:val="fr-FR"/>
              </w:rPr>
              <w:t>①结合最新勘探资料，选择占地相对较小的塔基基础和杆塔形式；</w:t>
            </w:r>
          </w:p>
          <w:p>
            <w:pPr>
              <w:adjustRightInd w:val="0"/>
              <w:snapToGrid w:val="0"/>
              <w:rPr>
                <w:rFonts w:cs="Times New Roman"/>
                <w:sz w:val="18"/>
                <w:szCs w:val="18"/>
                <w:lang w:val="fr-FR"/>
              </w:rPr>
            </w:pPr>
            <w:r>
              <w:rPr>
                <w:rFonts w:cs="Times New Roman"/>
                <w:sz w:val="18"/>
                <w:szCs w:val="18"/>
                <w:lang w:val="fr-FR"/>
              </w:rPr>
              <w:t>②线路施工时，基础开挖时选用影响较小开挖方式，减少塔基开挖对周边植被的破坏；对施工开挖面及时平整，基础开挖临时堆土应采用临时拦挡措施，用苫布覆盖，回填多余土石方选择合适弃渣点堆放，并采取措施进行防护；</w:t>
            </w:r>
          </w:p>
          <w:p>
            <w:pPr>
              <w:adjustRightInd w:val="0"/>
              <w:snapToGrid w:val="0"/>
              <w:rPr>
                <w:rFonts w:cs="Times New Roman"/>
                <w:sz w:val="18"/>
                <w:szCs w:val="18"/>
                <w:lang w:val="fr-FR"/>
              </w:rPr>
            </w:pPr>
            <w:r>
              <w:rPr>
                <w:rFonts w:cs="Times New Roman"/>
                <w:sz w:val="18"/>
                <w:szCs w:val="18"/>
                <w:lang w:val="fr-FR"/>
              </w:rPr>
              <w:t>③塔基开挖时，根据施工区的地形需要，在施工区周边设置临时排水沟等措施，避免水土流失；</w:t>
            </w:r>
          </w:p>
          <w:p>
            <w:pPr>
              <w:adjustRightInd w:val="0"/>
              <w:snapToGrid w:val="0"/>
              <w:rPr>
                <w:rFonts w:cs="Times New Roman"/>
                <w:sz w:val="18"/>
                <w:szCs w:val="18"/>
                <w:lang w:val="fr-FR"/>
              </w:rPr>
            </w:pPr>
            <w:r>
              <w:rPr>
                <w:rFonts w:cs="Times New Roman"/>
                <w:sz w:val="18"/>
                <w:szCs w:val="18"/>
                <w:lang w:val="fr-FR"/>
              </w:rPr>
              <w:t>④施工便道尽量利用现有道路，减少施工临时占地；</w:t>
            </w:r>
          </w:p>
          <w:p>
            <w:pPr>
              <w:adjustRightInd w:val="0"/>
              <w:snapToGrid w:val="0"/>
              <w:rPr>
                <w:rFonts w:cs="Times New Roman"/>
                <w:sz w:val="18"/>
                <w:szCs w:val="18"/>
                <w:lang w:val="fr-FR"/>
              </w:rPr>
            </w:pPr>
            <w:r>
              <w:rPr>
                <w:rFonts w:cs="Times New Roman"/>
                <w:sz w:val="18"/>
                <w:szCs w:val="18"/>
                <w:lang w:val="fr-FR"/>
              </w:rPr>
              <w:t>⑤对于线路施工临时占地应立即清理，根据其原有土地功能恢复原貌，对于塔基占地区（除塔基基脚外）尽可能采取复垦或植被恢复等措施；</w:t>
            </w:r>
          </w:p>
          <w:p>
            <w:pPr>
              <w:adjustRightInd w:val="0"/>
              <w:snapToGrid w:val="0"/>
              <w:rPr>
                <w:rFonts w:cs="Times New Roman"/>
                <w:sz w:val="18"/>
                <w:szCs w:val="18"/>
                <w:lang w:val="fr-FR"/>
              </w:rPr>
            </w:pPr>
            <w:r>
              <w:rPr>
                <w:rFonts w:cs="Times New Roman"/>
                <w:sz w:val="18"/>
                <w:szCs w:val="18"/>
                <w:lang w:val="fr-FR"/>
              </w:rPr>
              <w:t>⑥施工结束后，对牵张场等临时占地进行植被恢复；</w:t>
            </w:r>
          </w:p>
          <w:p>
            <w:pPr>
              <w:adjustRightInd w:val="0"/>
              <w:snapToGrid w:val="0"/>
              <w:rPr>
                <w:rFonts w:cs="Times New Roman"/>
                <w:sz w:val="18"/>
                <w:szCs w:val="18"/>
              </w:rPr>
            </w:pPr>
            <w:r>
              <w:rPr>
                <w:rFonts w:hint="eastAsia" w:ascii="宋体" w:hAnsi="宋体" w:cs="宋体"/>
                <w:sz w:val="18"/>
                <w:szCs w:val="18"/>
              </w:rPr>
              <w:t>⑦</w:t>
            </w:r>
            <w:r>
              <w:rPr>
                <w:rFonts w:cs="Times New Roman"/>
                <w:sz w:val="18"/>
                <w:szCs w:val="18"/>
              </w:rPr>
              <w:t>拆除杆塔应对原塔基基础部分进行破碎清运，对塔基占地进行绿化恢复。</w:t>
            </w:r>
          </w:p>
        </w:tc>
        <w:tc>
          <w:tcPr>
            <w:tcW w:w="806" w:type="pct"/>
            <w:vAlign w:val="center"/>
          </w:tcPr>
          <w:p>
            <w:pPr>
              <w:adjustRightInd w:val="0"/>
              <w:snapToGrid w:val="0"/>
              <w:rPr>
                <w:rFonts w:cs="Times New Roman"/>
                <w:sz w:val="18"/>
                <w:szCs w:val="18"/>
              </w:rPr>
            </w:pPr>
            <w:r>
              <w:rPr>
                <w:rFonts w:cs="Times New Roman"/>
                <w:sz w:val="18"/>
                <w:szCs w:val="18"/>
              </w:rPr>
              <w:t>施工期减少占用农田，充分利用现有道路及交通干道，减少施工临时占地，塔基开挖采用临时拦挡，土工布覆盖等措施，多余土石方原地回填绿化；施工结束后塔基周围、牵张场、塔基占地等临时占地植被恢复良好</w:t>
            </w:r>
            <w:r>
              <w:rPr>
                <w:rFonts w:cs="Times New Roman"/>
                <w:sz w:val="18"/>
                <w:szCs w:val="18"/>
                <w:lang w:val="fr-FR"/>
              </w:rPr>
              <w:t>验收落实情况</w:t>
            </w:r>
          </w:p>
        </w:tc>
        <w:tc>
          <w:tcPr>
            <w:tcW w:w="1043" w:type="pct"/>
            <w:vAlign w:val="center"/>
          </w:tcPr>
          <w:p>
            <w:pPr>
              <w:adjustRightInd w:val="0"/>
              <w:snapToGrid w:val="0"/>
              <w:rPr>
                <w:rFonts w:cs="Times New Roman"/>
                <w:sz w:val="18"/>
                <w:szCs w:val="18"/>
              </w:rPr>
            </w:pPr>
            <w:r>
              <w:rPr>
                <w:rFonts w:cs="Times New Roman"/>
                <w:sz w:val="18"/>
                <w:szCs w:val="18"/>
              </w:rPr>
              <w:t>加强对巡线人员的环境保护教育，提高环保意识。</w:t>
            </w:r>
          </w:p>
        </w:tc>
        <w:tc>
          <w:tcPr>
            <w:tcW w:w="944" w:type="pct"/>
            <w:vAlign w:val="center"/>
          </w:tcPr>
          <w:p>
            <w:pPr>
              <w:adjustRightInd w:val="0"/>
              <w:snapToGrid w:val="0"/>
              <w:rPr>
                <w:rFonts w:cs="Times New Roman"/>
                <w:sz w:val="18"/>
                <w:szCs w:val="18"/>
              </w:rPr>
            </w:pPr>
            <w:r>
              <w:rPr>
                <w:rFonts w:cs="Times New Roman"/>
                <w:sz w:val="18"/>
                <w:szCs w:val="18"/>
              </w:rPr>
              <w:t>巡线人员不得随意砍伐线路沿线树木，破坏线路沿线原有生态功能。</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61"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水生生态</w:t>
            </w:r>
          </w:p>
        </w:tc>
        <w:tc>
          <w:tcPr>
            <w:tcW w:w="1937" w:type="pct"/>
            <w:vAlign w:val="center"/>
          </w:tcPr>
          <w:p>
            <w:pPr>
              <w:adjustRightInd w:val="0"/>
              <w:snapToGrid w:val="0"/>
              <w:jc w:val="center"/>
              <w:rPr>
                <w:rFonts w:cs="Times New Roman"/>
                <w:sz w:val="18"/>
                <w:szCs w:val="18"/>
              </w:rPr>
            </w:pPr>
            <w:r>
              <w:rPr>
                <w:rFonts w:cs="Times New Roman"/>
                <w:sz w:val="18"/>
                <w:szCs w:val="18"/>
              </w:rPr>
              <w:t>/</w:t>
            </w:r>
          </w:p>
        </w:tc>
        <w:tc>
          <w:tcPr>
            <w:tcW w:w="806" w:type="pct"/>
            <w:vAlign w:val="center"/>
          </w:tcPr>
          <w:p>
            <w:pPr>
              <w:adjustRightInd w:val="0"/>
              <w:snapToGrid w:val="0"/>
              <w:jc w:val="center"/>
              <w:rPr>
                <w:rFonts w:cs="Times New Roman"/>
                <w:sz w:val="18"/>
                <w:szCs w:val="18"/>
              </w:rPr>
            </w:pPr>
            <w:r>
              <w:rPr>
                <w:rFonts w:cs="Times New Roman"/>
                <w:sz w:val="18"/>
                <w:szCs w:val="18"/>
              </w:rPr>
              <w:t>/</w:t>
            </w:r>
          </w:p>
        </w:tc>
        <w:tc>
          <w:tcPr>
            <w:tcW w:w="1043" w:type="pct"/>
            <w:vAlign w:val="center"/>
          </w:tcPr>
          <w:p>
            <w:pPr>
              <w:adjustRightInd w:val="0"/>
              <w:snapToGrid w:val="0"/>
              <w:jc w:val="center"/>
              <w:rPr>
                <w:rFonts w:cs="Times New Roman"/>
                <w:sz w:val="18"/>
                <w:szCs w:val="18"/>
              </w:rPr>
            </w:pPr>
            <w:r>
              <w:rPr>
                <w:rFonts w:cs="Times New Roman"/>
                <w:sz w:val="18"/>
                <w:szCs w:val="18"/>
              </w:rPr>
              <w:t>/</w:t>
            </w:r>
          </w:p>
        </w:tc>
        <w:tc>
          <w:tcPr>
            <w:tcW w:w="944" w:type="pct"/>
            <w:vAlign w:val="center"/>
          </w:tcPr>
          <w:p>
            <w:pPr>
              <w:adjustRightInd w:val="0"/>
              <w:snapToGrid w:val="0"/>
              <w:jc w:val="center"/>
              <w:rPr>
                <w:rFonts w:cs="Times New Roman"/>
                <w:sz w:val="18"/>
                <w:szCs w:val="18"/>
              </w:rPr>
            </w:pPr>
            <w:r>
              <w:rPr>
                <w:rFonts w:cs="Times New Roman"/>
                <w:sz w:val="18"/>
                <w:szCs w:val="1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32"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地表水环境</w:t>
            </w:r>
          </w:p>
        </w:tc>
        <w:tc>
          <w:tcPr>
            <w:tcW w:w="1937" w:type="pct"/>
            <w:vAlign w:val="center"/>
          </w:tcPr>
          <w:p>
            <w:pPr>
              <w:adjustRightInd w:val="0"/>
              <w:snapToGrid w:val="0"/>
              <w:rPr>
                <w:rFonts w:cs="Times New Roman"/>
                <w:sz w:val="18"/>
                <w:szCs w:val="18"/>
                <w:lang w:val="fr-FR"/>
              </w:rPr>
            </w:pPr>
            <w:r>
              <w:rPr>
                <w:rFonts w:cs="Times New Roman"/>
                <w:sz w:val="18"/>
                <w:szCs w:val="18"/>
                <w:lang w:val="fr-FR"/>
              </w:rPr>
              <w:t>（</w:t>
            </w:r>
            <w:r>
              <w:rPr>
                <w:rFonts w:cs="Times New Roman"/>
                <w:sz w:val="18"/>
                <w:szCs w:val="18"/>
              </w:rPr>
              <w:t>1</w:t>
            </w:r>
            <w:r>
              <w:rPr>
                <w:rFonts w:cs="Times New Roman"/>
                <w:sz w:val="18"/>
                <w:szCs w:val="18"/>
                <w:lang w:val="fr-FR"/>
              </w:rPr>
              <w:t>）输电线路施工人员一般租用当地民房，产生的生活污水纳入当地污水处理系统。</w:t>
            </w:r>
          </w:p>
          <w:p>
            <w:pPr>
              <w:adjustRightInd w:val="0"/>
              <w:snapToGrid w:val="0"/>
              <w:rPr>
                <w:rFonts w:cs="Times New Roman"/>
                <w:sz w:val="18"/>
                <w:szCs w:val="18"/>
                <w:lang w:val="fr-FR"/>
              </w:rPr>
            </w:pPr>
            <w:r>
              <w:rPr>
                <w:rFonts w:cs="Times New Roman"/>
                <w:sz w:val="18"/>
                <w:szCs w:val="18"/>
                <w:lang w:val="fr-FR"/>
              </w:rPr>
              <w:t>（</w:t>
            </w:r>
            <w:r>
              <w:rPr>
                <w:rFonts w:cs="Times New Roman"/>
                <w:sz w:val="18"/>
                <w:szCs w:val="18"/>
              </w:rPr>
              <w:t>2</w:t>
            </w:r>
            <w:r>
              <w:rPr>
                <w:rFonts w:cs="Times New Roman"/>
                <w:sz w:val="18"/>
                <w:szCs w:val="18"/>
                <w:lang w:val="fr-FR"/>
              </w:rPr>
              <w:t>）施工过程中，合理安排施工计划和施工工序。雨季尽量减少地面坡度，减少开挖面，土料随挖、随运，减少推土裸土的暴露时间，以避免受降雨直接冲刷。</w:t>
            </w:r>
          </w:p>
          <w:p>
            <w:pPr>
              <w:adjustRightInd w:val="0"/>
              <w:snapToGrid w:val="0"/>
              <w:rPr>
                <w:rFonts w:cs="Times New Roman"/>
                <w:sz w:val="18"/>
                <w:szCs w:val="18"/>
                <w:lang w:val="fr-FR"/>
              </w:rPr>
            </w:pPr>
            <w:r>
              <w:rPr>
                <w:rFonts w:hint="eastAsia" w:cs="Times New Roman"/>
                <w:sz w:val="18"/>
                <w:szCs w:val="18"/>
                <w:lang w:val="fr-FR"/>
              </w:rPr>
              <w:t>（3）输电线路灌注桩基础施工产生的泥浆废水经泥浆池沉淀后上清液自然蒸发，泥浆干化后回用场地平整。</w:t>
            </w:r>
          </w:p>
          <w:p>
            <w:pPr>
              <w:adjustRightInd w:val="0"/>
              <w:snapToGrid w:val="0"/>
              <w:rPr>
                <w:rFonts w:cs="Times New Roman"/>
                <w:sz w:val="18"/>
                <w:szCs w:val="18"/>
                <w:lang w:val="fr-FR"/>
              </w:rPr>
            </w:pPr>
            <w:r>
              <w:rPr>
                <w:rFonts w:hint="eastAsia" w:cs="Times New Roman"/>
                <w:sz w:val="18"/>
                <w:szCs w:val="18"/>
                <w:lang w:val="fr-FR"/>
              </w:rPr>
              <w:t>（4）生产废水如机修废水经砼衬砌隔油沉淀池沉淀处理满足《城市污水再生利用 城市杂用水水质》（GB/T 18921-20</w:t>
            </w:r>
            <w:r>
              <w:rPr>
                <w:rFonts w:cs="Times New Roman"/>
                <w:sz w:val="18"/>
                <w:szCs w:val="18"/>
                <w:lang w:val="fr-FR"/>
              </w:rPr>
              <w:t>20</w:t>
            </w:r>
            <w:r>
              <w:rPr>
                <w:rFonts w:hint="eastAsia" w:cs="Times New Roman"/>
                <w:sz w:val="18"/>
                <w:szCs w:val="18"/>
                <w:lang w:val="fr-FR"/>
              </w:rPr>
              <w:t>）绿化用水标准要求后回用于道路洒水降尘，严禁施工废水直排入河流。</w:t>
            </w:r>
          </w:p>
          <w:p>
            <w:pPr>
              <w:adjustRightInd w:val="0"/>
              <w:snapToGrid w:val="0"/>
              <w:rPr>
                <w:rFonts w:cs="Times New Roman"/>
                <w:sz w:val="18"/>
                <w:szCs w:val="18"/>
              </w:rPr>
            </w:pPr>
            <w:r>
              <w:rPr>
                <w:rFonts w:hint="eastAsia" w:cs="Times New Roman"/>
                <w:sz w:val="18"/>
                <w:szCs w:val="18"/>
                <w:lang w:val="fr-FR"/>
              </w:rPr>
              <w:t>（5）线路施工时严禁漏油施工车辆和机械进入河流附近，严禁在河流附近清洗施工车辆和机械。</w:t>
            </w:r>
          </w:p>
        </w:tc>
        <w:tc>
          <w:tcPr>
            <w:tcW w:w="806" w:type="pct"/>
            <w:vAlign w:val="center"/>
          </w:tcPr>
          <w:p>
            <w:pPr>
              <w:adjustRightInd w:val="0"/>
              <w:snapToGrid w:val="0"/>
              <w:rPr>
                <w:rFonts w:cs="Times New Roman"/>
                <w:sz w:val="18"/>
                <w:szCs w:val="18"/>
              </w:rPr>
            </w:pPr>
            <w:r>
              <w:rPr>
                <w:rFonts w:cs="Times New Roman"/>
                <w:sz w:val="18"/>
                <w:szCs w:val="18"/>
                <w:lang w:val="fr-FR"/>
              </w:rPr>
              <w:t>施工废水及施工生活污水较得到有效处理，未对周围环境产生影响；线路施工对</w:t>
            </w:r>
            <w:r>
              <w:rPr>
                <w:rFonts w:cs="Times New Roman"/>
                <w:sz w:val="18"/>
                <w:szCs w:val="18"/>
              </w:rPr>
              <w:t>沿线水体</w:t>
            </w:r>
            <w:r>
              <w:rPr>
                <w:rFonts w:cs="Times New Roman"/>
                <w:sz w:val="18"/>
                <w:szCs w:val="18"/>
                <w:lang w:val="fr-FR"/>
              </w:rPr>
              <w:t>的影响降到最低，不对其水体水质产生影响。</w:t>
            </w:r>
          </w:p>
        </w:tc>
        <w:tc>
          <w:tcPr>
            <w:tcW w:w="1043" w:type="pct"/>
            <w:vAlign w:val="center"/>
          </w:tcPr>
          <w:p>
            <w:pPr>
              <w:adjustRightInd w:val="0"/>
              <w:snapToGrid w:val="0"/>
              <w:jc w:val="center"/>
              <w:rPr>
                <w:rFonts w:cs="Times New Roman"/>
                <w:sz w:val="18"/>
                <w:szCs w:val="18"/>
              </w:rPr>
            </w:pPr>
            <w:r>
              <w:rPr>
                <w:rFonts w:cs="Times New Roman"/>
                <w:sz w:val="18"/>
                <w:szCs w:val="18"/>
              </w:rPr>
              <w:t>/</w:t>
            </w:r>
          </w:p>
        </w:tc>
        <w:tc>
          <w:tcPr>
            <w:tcW w:w="944" w:type="pct"/>
            <w:vAlign w:val="center"/>
          </w:tcPr>
          <w:p>
            <w:pPr>
              <w:adjustRightInd w:val="0"/>
              <w:snapToGrid w:val="0"/>
              <w:jc w:val="center"/>
              <w:rPr>
                <w:rFonts w:cs="Times New Roman"/>
                <w:sz w:val="18"/>
                <w:szCs w:val="18"/>
              </w:rPr>
            </w:pPr>
            <w:r>
              <w:rPr>
                <w:rFonts w:cs="Times New Roman"/>
                <w:sz w:val="18"/>
                <w:szCs w:val="1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38"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地下水及</w:t>
            </w:r>
          </w:p>
          <w:p>
            <w:pPr>
              <w:adjustRightInd w:val="0"/>
              <w:snapToGrid w:val="0"/>
              <w:jc w:val="center"/>
              <w:rPr>
                <w:rFonts w:cs="Times New Roman"/>
                <w:sz w:val="18"/>
                <w:szCs w:val="18"/>
              </w:rPr>
            </w:pPr>
            <w:r>
              <w:rPr>
                <w:rFonts w:cs="Times New Roman"/>
                <w:sz w:val="18"/>
                <w:szCs w:val="18"/>
              </w:rPr>
              <w:t>土壤环境</w:t>
            </w:r>
          </w:p>
        </w:tc>
        <w:tc>
          <w:tcPr>
            <w:tcW w:w="1937" w:type="pct"/>
            <w:vAlign w:val="center"/>
          </w:tcPr>
          <w:p>
            <w:pPr>
              <w:adjustRightInd w:val="0"/>
              <w:snapToGrid w:val="0"/>
              <w:jc w:val="center"/>
              <w:rPr>
                <w:rFonts w:cs="Times New Roman"/>
                <w:sz w:val="18"/>
                <w:szCs w:val="18"/>
              </w:rPr>
            </w:pPr>
            <w:r>
              <w:rPr>
                <w:rFonts w:cs="Times New Roman"/>
                <w:sz w:val="18"/>
                <w:szCs w:val="18"/>
              </w:rPr>
              <w:t>/</w:t>
            </w:r>
          </w:p>
        </w:tc>
        <w:tc>
          <w:tcPr>
            <w:tcW w:w="806" w:type="pct"/>
            <w:vAlign w:val="center"/>
          </w:tcPr>
          <w:p>
            <w:pPr>
              <w:adjustRightInd w:val="0"/>
              <w:snapToGrid w:val="0"/>
              <w:jc w:val="center"/>
              <w:rPr>
                <w:rFonts w:cs="Times New Roman"/>
                <w:sz w:val="18"/>
                <w:szCs w:val="18"/>
              </w:rPr>
            </w:pPr>
            <w:r>
              <w:rPr>
                <w:rFonts w:cs="Times New Roman"/>
                <w:sz w:val="18"/>
                <w:szCs w:val="18"/>
              </w:rPr>
              <w:t>/</w:t>
            </w:r>
          </w:p>
        </w:tc>
        <w:tc>
          <w:tcPr>
            <w:tcW w:w="1043" w:type="pct"/>
            <w:vAlign w:val="center"/>
          </w:tcPr>
          <w:p>
            <w:pPr>
              <w:adjustRightInd w:val="0"/>
              <w:snapToGrid w:val="0"/>
              <w:jc w:val="center"/>
              <w:rPr>
                <w:rFonts w:cs="Times New Roman"/>
                <w:sz w:val="18"/>
                <w:szCs w:val="18"/>
              </w:rPr>
            </w:pPr>
            <w:r>
              <w:rPr>
                <w:rFonts w:cs="Times New Roman"/>
                <w:sz w:val="18"/>
                <w:szCs w:val="18"/>
              </w:rPr>
              <w:t>/</w:t>
            </w:r>
          </w:p>
        </w:tc>
        <w:tc>
          <w:tcPr>
            <w:tcW w:w="944" w:type="pct"/>
            <w:vAlign w:val="center"/>
          </w:tcPr>
          <w:p>
            <w:pPr>
              <w:adjustRightInd w:val="0"/>
              <w:snapToGrid w:val="0"/>
              <w:jc w:val="center"/>
              <w:rPr>
                <w:rFonts w:cs="Times New Roman"/>
                <w:sz w:val="18"/>
                <w:szCs w:val="18"/>
                <w:highlight w:val="yellow"/>
              </w:rPr>
            </w:pPr>
            <w:r>
              <w:rPr>
                <w:rFonts w:cs="Times New Roman"/>
                <w:sz w:val="18"/>
                <w:szCs w:val="1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32"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声环境</w:t>
            </w:r>
          </w:p>
        </w:tc>
        <w:tc>
          <w:tcPr>
            <w:tcW w:w="1937" w:type="pct"/>
            <w:vAlign w:val="center"/>
          </w:tcPr>
          <w:p>
            <w:pPr>
              <w:adjustRightInd w:val="0"/>
              <w:snapToGrid w:val="0"/>
              <w:rPr>
                <w:rFonts w:cs="Times New Roman"/>
                <w:sz w:val="18"/>
                <w:szCs w:val="18"/>
                <w:lang w:val="fr-FR"/>
              </w:rPr>
            </w:pPr>
            <w:r>
              <w:rPr>
                <w:rFonts w:cs="Times New Roman"/>
                <w:sz w:val="18"/>
                <w:szCs w:val="18"/>
                <w:lang w:val="fr-FR"/>
              </w:rPr>
              <w:t>（1）加强施工期的环境管理工作，并接受生态环境部门监督管理。</w:t>
            </w:r>
          </w:p>
          <w:p>
            <w:pPr>
              <w:adjustRightInd w:val="0"/>
              <w:snapToGrid w:val="0"/>
              <w:rPr>
                <w:rFonts w:cs="Times New Roman"/>
                <w:sz w:val="18"/>
                <w:szCs w:val="18"/>
                <w:lang w:val="fr-FR"/>
              </w:rPr>
            </w:pPr>
            <w:r>
              <w:rPr>
                <w:rFonts w:cs="Times New Roman"/>
                <w:sz w:val="18"/>
                <w:szCs w:val="18"/>
                <w:lang w:val="fr-FR"/>
              </w:rPr>
              <w:t>（2）在设备选型时选用符合国家噪声标准的低噪声施工设备，同时加强施工机械和运输车辆的保养，减小机械故障产生的噪声。</w:t>
            </w:r>
          </w:p>
          <w:p>
            <w:pPr>
              <w:adjustRightInd w:val="0"/>
              <w:snapToGrid w:val="0"/>
              <w:rPr>
                <w:rFonts w:cs="Times New Roman"/>
                <w:sz w:val="18"/>
                <w:szCs w:val="18"/>
                <w:lang w:val="fr-FR"/>
              </w:rPr>
            </w:pPr>
            <w:r>
              <w:rPr>
                <w:rFonts w:cs="Times New Roman"/>
                <w:sz w:val="18"/>
                <w:szCs w:val="18"/>
                <w:lang w:val="fr-FR"/>
              </w:rPr>
              <w:t>（3）施工单位应采用满足国家相应噪声标准的施工机械设备，并在施工场周围设置围栏或围墙以减小施工噪声影响，同时加强对施工机械的维护保养。</w:t>
            </w:r>
          </w:p>
          <w:p>
            <w:pPr>
              <w:adjustRightInd w:val="0"/>
              <w:snapToGrid w:val="0"/>
              <w:rPr>
                <w:rFonts w:cs="Times New Roman"/>
                <w:sz w:val="18"/>
                <w:szCs w:val="18"/>
                <w:lang w:val="fr-FR"/>
              </w:rPr>
            </w:pPr>
            <w:r>
              <w:rPr>
                <w:rFonts w:cs="Times New Roman"/>
                <w:sz w:val="18"/>
                <w:szCs w:val="18"/>
                <w:lang w:val="fr-FR"/>
              </w:rPr>
              <w:t>（4）施工单位应尽量避免在夜间施工。</w:t>
            </w:r>
          </w:p>
          <w:p>
            <w:pPr>
              <w:adjustRightInd w:val="0"/>
              <w:snapToGrid w:val="0"/>
              <w:rPr>
                <w:rFonts w:cs="Times New Roman"/>
                <w:sz w:val="18"/>
                <w:szCs w:val="18"/>
              </w:rPr>
            </w:pPr>
            <w:r>
              <w:rPr>
                <w:rFonts w:cs="Times New Roman"/>
                <w:sz w:val="18"/>
                <w:szCs w:val="18"/>
                <w:lang w:val="fr-FR"/>
              </w:rPr>
              <w:t>（5）施工设备合理布局，高噪声设备不集中施工，并相对远离周边敏感目标。</w:t>
            </w:r>
          </w:p>
        </w:tc>
        <w:tc>
          <w:tcPr>
            <w:tcW w:w="806" w:type="pct"/>
            <w:vAlign w:val="center"/>
          </w:tcPr>
          <w:p>
            <w:pPr>
              <w:adjustRightInd w:val="0"/>
              <w:snapToGrid w:val="0"/>
              <w:rPr>
                <w:rFonts w:cs="Times New Roman"/>
                <w:sz w:val="18"/>
                <w:szCs w:val="18"/>
                <w:highlight w:val="yellow"/>
              </w:rPr>
            </w:pPr>
            <w:r>
              <w:rPr>
                <w:rFonts w:cs="Times New Roman"/>
                <w:sz w:val="18"/>
                <w:szCs w:val="18"/>
              </w:rPr>
              <w:t>本</w:t>
            </w:r>
            <w:r>
              <w:rPr>
                <w:rFonts w:hint="eastAsia" w:cs="Times New Roman"/>
                <w:sz w:val="18"/>
                <w:szCs w:val="18"/>
              </w:rPr>
              <w:t>项目</w:t>
            </w:r>
            <w:r>
              <w:rPr>
                <w:rFonts w:cs="Times New Roman"/>
                <w:sz w:val="18"/>
                <w:szCs w:val="18"/>
              </w:rPr>
              <w:t>施工期间噪声均满足《建筑施工厂界噪声排放标准》（GB12523-2011）</w:t>
            </w:r>
          </w:p>
        </w:tc>
        <w:tc>
          <w:tcPr>
            <w:tcW w:w="1043" w:type="pct"/>
            <w:vAlign w:val="center"/>
          </w:tcPr>
          <w:p>
            <w:pPr>
              <w:adjustRightInd w:val="0"/>
              <w:snapToGrid w:val="0"/>
              <w:rPr>
                <w:rFonts w:cs="Times New Roman"/>
                <w:sz w:val="18"/>
                <w:szCs w:val="18"/>
              </w:rPr>
            </w:pPr>
            <w:r>
              <w:rPr>
                <w:rFonts w:cs="Times New Roman"/>
                <w:sz w:val="18"/>
                <w:szCs w:val="18"/>
              </w:rPr>
              <w:t>运行期做好设施的维护和运行管理，定期开展环境监测</w:t>
            </w:r>
          </w:p>
        </w:tc>
        <w:tc>
          <w:tcPr>
            <w:tcW w:w="944" w:type="pct"/>
            <w:vAlign w:val="center"/>
          </w:tcPr>
          <w:p>
            <w:pPr>
              <w:adjustRightInd w:val="0"/>
              <w:snapToGrid w:val="0"/>
              <w:rPr>
                <w:rFonts w:cs="Times New Roman"/>
                <w:sz w:val="18"/>
                <w:szCs w:val="18"/>
              </w:rPr>
            </w:pPr>
            <w:r>
              <w:rPr>
                <w:rFonts w:cs="Times New Roman"/>
                <w:sz w:val="18"/>
                <w:szCs w:val="18"/>
              </w:rPr>
              <w:t>输电线路沿线的声环境满足《声环境质量标准》（GB3096-2008）相应功能区标准限值要求。</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67"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振动</w:t>
            </w:r>
          </w:p>
        </w:tc>
        <w:tc>
          <w:tcPr>
            <w:tcW w:w="1937" w:type="pct"/>
            <w:vAlign w:val="center"/>
          </w:tcPr>
          <w:p>
            <w:pPr>
              <w:adjustRightInd w:val="0"/>
              <w:snapToGrid w:val="0"/>
              <w:jc w:val="center"/>
              <w:rPr>
                <w:rFonts w:cs="Times New Roman"/>
                <w:sz w:val="18"/>
                <w:szCs w:val="18"/>
              </w:rPr>
            </w:pPr>
            <w:r>
              <w:rPr>
                <w:rFonts w:cs="Times New Roman"/>
                <w:sz w:val="18"/>
                <w:szCs w:val="18"/>
              </w:rPr>
              <w:t>/</w:t>
            </w:r>
          </w:p>
        </w:tc>
        <w:tc>
          <w:tcPr>
            <w:tcW w:w="806" w:type="pct"/>
            <w:vAlign w:val="center"/>
          </w:tcPr>
          <w:p>
            <w:pPr>
              <w:adjustRightInd w:val="0"/>
              <w:snapToGrid w:val="0"/>
              <w:jc w:val="center"/>
              <w:rPr>
                <w:rFonts w:cs="Times New Roman"/>
                <w:sz w:val="18"/>
                <w:szCs w:val="18"/>
              </w:rPr>
            </w:pPr>
            <w:r>
              <w:rPr>
                <w:rFonts w:cs="Times New Roman"/>
                <w:sz w:val="18"/>
                <w:szCs w:val="18"/>
              </w:rPr>
              <w:t>/</w:t>
            </w:r>
          </w:p>
        </w:tc>
        <w:tc>
          <w:tcPr>
            <w:tcW w:w="1043" w:type="pct"/>
            <w:vAlign w:val="center"/>
          </w:tcPr>
          <w:p>
            <w:pPr>
              <w:adjustRightInd w:val="0"/>
              <w:snapToGrid w:val="0"/>
              <w:jc w:val="center"/>
              <w:rPr>
                <w:rFonts w:cs="Times New Roman"/>
                <w:sz w:val="18"/>
                <w:szCs w:val="18"/>
              </w:rPr>
            </w:pPr>
            <w:r>
              <w:rPr>
                <w:rFonts w:cs="Times New Roman"/>
                <w:sz w:val="18"/>
                <w:szCs w:val="18"/>
              </w:rPr>
              <w:t>/</w:t>
            </w:r>
          </w:p>
        </w:tc>
        <w:tc>
          <w:tcPr>
            <w:tcW w:w="944" w:type="pct"/>
            <w:vAlign w:val="center"/>
          </w:tcPr>
          <w:p>
            <w:pPr>
              <w:adjustRightInd w:val="0"/>
              <w:snapToGrid w:val="0"/>
              <w:jc w:val="center"/>
              <w:rPr>
                <w:rFonts w:cs="Times New Roman"/>
                <w:sz w:val="18"/>
                <w:szCs w:val="18"/>
              </w:rPr>
            </w:pPr>
            <w:r>
              <w:rPr>
                <w:rFonts w:cs="Times New Roman"/>
                <w:sz w:val="18"/>
                <w:szCs w:val="1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32" w:hRule="atLeast"/>
          <w:jc w:val="center"/>
        </w:trPr>
        <w:tc>
          <w:tcPr>
            <w:tcW w:w="270" w:type="pct"/>
            <w:vAlign w:val="center"/>
          </w:tcPr>
          <w:p>
            <w:pPr>
              <w:adjustRightInd w:val="0"/>
              <w:snapToGrid w:val="0"/>
              <w:jc w:val="center"/>
              <w:rPr>
                <w:rFonts w:cs="Times New Roman"/>
                <w:sz w:val="18"/>
                <w:szCs w:val="18"/>
                <w:highlight w:val="yellow"/>
              </w:rPr>
            </w:pPr>
            <w:r>
              <w:rPr>
                <w:rFonts w:cs="Times New Roman"/>
                <w:sz w:val="18"/>
                <w:szCs w:val="18"/>
              </w:rPr>
              <w:t>大气环境</w:t>
            </w:r>
          </w:p>
        </w:tc>
        <w:tc>
          <w:tcPr>
            <w:tcW w:w="1937" w:type="pct"/>
            <w:vAlign w:val="center"/>
          </w:tcPr>
          <w:p>
            <w:pPr>
              <w:adjustRightInd w:val="0"/>
              <w:snapToGrid w:val="0"/>
              <w:rPr>
                <w:rFonts w:cs="Times New Roman"/>
                <w:sz w:val="18"/>
                <w:szCs w:val="18"/>
                <w:lang w:val="fr-FR"/>
              </w:rPr>
            </w:pPr>
            <w:r>
              <w:rPr>
                <w:rFonts w:cs="Times New Roman"/>
                <w:sz w:val="18"/>
                <w:szCs w:val="18"/>
                <w:lang w:val="fr-FR"/>
              </w:rPr>
              <w:t>（1）施工时在施工现场周围设置临时围栏进行遮挡，合理控制施工作业面积。</w:t>
            </w:r>
          </w:p>
          <w:p>
            <w:pPr>
              <w:adjustRightInd w:val="0"/>
              <w:snapToGrid w:val="0"/>
              <w:rPr>
                <w:rFonts w:cs="Times New Roman"/>
                <w:sz w:val="18"/>
                <w:szCs w:val="18"/>
                <w:lang w:val="fr-FR"/>
              </w:rPr>
            </w:pPr>
            <w:r>
              <w:rPr>
                <w:rFonts w:cs="Times New Roman"/>
                <w:sz w:val="18"/>
                <w:szCs w:val="18"/>
                <w:lang w:val="fr-FR"/>
              </w:rPr>
              <w:t>（2）对进出场地的施工运输车辆进行限速，运输车辆应采用密封、遮盖等防尘措施；对施工道路和施工场地定时洒水、喷淋，避免尘土飞扬。</w:t>
            </w:r>
          </w:p>
          <w:p>
            <w:pPr>
              <w:adjustRightInd w:val="0"/>
              <w:snapToGrid w:val="0"/>
              <w:rPr>
                <w:rFonts w:cs="Times New Roman"/>
                <w:sz w:val="18"/>
                <w:szCs w:val="18"/>
                <w:lang w:val="fr-FR"/>
              </w:rPr>
            </w:pPr>
            <w:r>
              <w:rPr>
                <w:rFonts w:cs="Times New Roman"/>
                <w:sz w:val="18"/>
                <w:szCs w:val="18"/>
                <w:lang w:val="fr-FR"/>
              </w:rPr>
              <w:t>（3）尽量使用商品混凝土，减少运输、装卸、搅拌过程中产生的扬尘。</w:t>
            </w:r>
          </w:p>
          <w:p>
            <w:pPr>
              <w:adjustRightInd w:val="0"/>
              <w:snapToGrid w:val="0"/>
              <w:rPr>
                <w:rFonts w:cs="Times New Roman"/>
                <w:sz w:val="18"/>
                <w:szCs w:val="18"/>
                <w:lang w:val="fr-FR"/>
              </w:rPr>
            </w:pPr>
            <w:r>
              <w:rPr>
                <w:rFonts w:cs="Times New Roman"/>
                <w:sz w:val="18"/>
                <w:szCs w:val="18"/>
                <w:lang w:val="fr-FR"/>
              </w:rPr>
              <w:t>（4）在线路塔基开挖时，应对临时堆砌的土方进行合理遮盖，减少大风天气引起的二次扬尘，线路施工完毕后及时进行覆土回填。</w:t>
            </w:r>
          </w:p>
          <w:p>
            <w:pPr>
              <w:adjustRightInd w:val="0"/>
              <w:snapToGrid w:val="0"/>
              <w:rPr>
                <w:rFonts w:cs="Times New Roman"/>
                <w:sz w:val="18"/>
                <w:szCs w:val="18"/>
                <w:lang w:val="fr-FR"/>
              </w:rPr>
            </w:pPr>
            <w:r>
              <w:rPr>
                <w:rFonts w:cs="Times New Roman"/>
                <w:sz w:val="18"/>
                <w:szCs w:val="18"/>
                <w:lang w:val="fr-FR"/>
              </w:rPr>
              <w:t>在采取上述扬尘防治措施后，本项目不会对周围大气环境造成明显影响。</w:t>
            </w:r>
          </w:p>
        </w:tc>
        <w:tc>
          <w:tcPr>
            <w:tcW w:w="806" w:type="pct"/>
            <w:vAlign w:val="center"/>
          </w:tcPr>
          <w:p>
            <w:pPr>
              <w:adjustRightInd w:val="0"/>
              <w:snapToGrid w:val="0"/>
              <w:rPr>
                <w:rFonts w:cs="Times New Roman"/>
                <w:sz w:val="18"/>
                <w:szCs w:val="18"/>
                <w:lang w:val="fr-FR"/>
              </w:rPr>
            </w:pPr>
            <w:r>
              <w:rPr>
                <w:rFonts w:cs="Times New Roman"/>
                <w:sz w:val="18"/>
                <w:szCs w:val="18"/>
                <w:lang w:val="fr-FR"/>
              </w:rPr>
              <w:t>施工期间扬尘控制较好，对周围大气环境影响较小，未发生扬尘扰民引起的投诉事件。</w:t>
            </w:r>
          </w:p>
        </w:tc>
        <w:tc>
          <w:tcPr>
            <w:tcW w:w="1043" w:type="pct"/>
            <w:vAlign w:val="center"/>
          </w:tcPr>
          <w:p>
            <w:pPr>
              <w:adjustRightInd w:val="0"/>
              <w:snapToGrid w:val="0"/>
              <w:jc w:val="center"/>
              <w:rPr>
                <w:rFonts w:cs="Times New Roman"/>
                <w:sz w:val="18"/>
                <w:szCs w:val="18"/>
              </w:rPr>
            </w:pPr>
            <w:r>
              <w:rPr>
                <w:rFonts w:cs="Times New Roman"/>
                <w:sz w:val="18"/>
                <w:szCs w:val="18"/>
              </w:rPr>
              <w:t>/</w:t>
            </w:r>
          </w:p>
        </w:tc>
        <w:tc>
          <w:tcPr>
            <w:tcW w:w="944" w:type="pct"/>
            <w:vAlign w:val="center"/>
          </w:tcPr>
          <w:p>
            <w:pPr>
              <w:adjustRightInd w:val="0"/>
              <w:snapToGrid w:val="0"/>
              <w:jc w:val="center"/>
              <w:rPr>
                <w:rFonts w:cs="Times New Roman"/>
                <w:sz w:val="18"/>
                <w:szCs w:val="18"/>
              </w:rPr>
            </w:pPr>
            <w:r>
              <w:rPr>
                <w:rFonts w:cs="Times New Roman"/>
                <w:sz w:val="18"/>
                <w:szCs w:val="1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32"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固体废物</w:t>
            </w:r>
          </w:p>
        </w:tc>
        <w:tc>
          <w:tcPr>
            <w:tcW w:w="1937" w:type="pct"/>
            <w:vAlign w:val="center"/>
          </w:tcPr>
          <w:p>
            <w:pPr>
              <w:adjustRightInd w:val="0"/>
              <w:snapToGrid w:val="0"/>
              <w:rPr>
                <w:rFonts w:cs="Times New Roman"/>
                <w:sz w:val="18"/>
                <w:szCs w:val="18"/>
                <w:lang w:val="fr-FR"/>
              </w:rPr>
            </w:pPr>
            <w:r>
              <w:rPr>
                <w:rFonts w:cs="Times New Roman"/>
                <w:sz w:val="18"/>
                <w:szCs w:val="18"/>
                <w:lang w:val="fr-FR"/>
              </w:rPr>
              <w:t>（1）施工人员租用当地民房，产生的少量生活垃圾可纳入当地生活垃圾收集处理系统。</w:t>
            </w:r>
          </w:p>
          <w:p>
            <w:pPr>
              <w:adjustRightInd w:val="0"/>
              <w:snapToGrid w:val="0"/>
              <w:rPr>
                <w:rFonts w:cs="Times New Roman"/>
                <w:sz w:val="18"/>
                <w:szCs w:val="18"/>
                <w:lang w:val="fr-FR"/>
              </w:rPr>
            </w:pPr>
            <w:r>
              <w:rPr>
                <w:rFonts w:cs="Times New Roman"/>
                <w:sz w:val="18"/>
                <w:szCs w:val="18"/>
                <w:lang w:val="fr-FR"/>
              </w:rPr>
              <w:t>（2）线路路径长度较短，塔基</w:t>
            </w:r>
            <w:r>
              <w:rPr>
                <w:rFonts w:hint="eastAsia" w:cs="Times New Roman"/>
              </w:rPr>
              <w:t>基础</w:t>
            </w:r>
            <w:r>
              <w:rPr>
                <w:rFonts w:cs="Times New Roman"/>
                <w:sz w:val="18"/>
                <w:szCs w:val="18"/>
                <w:lang w:val="fr-FR"/>
              </w:rPr>
              <w:t>开挖时产生的土石方及时回填严实，施工结束后进行绿化。</w:t>
            </w:r>
          </w:p>
          <w:p>
            <w:pPr>
              <w:adjustRightInd w:val="0"/>
              <w:snapToGrid w:val="0"/>
              <w:rPr>
                <w:rFonts w:cs="Times New Roman"/>
                <w:sz w:val="18"/>
                <w:szCs w:val="18"/>
                <w:lang w:val="fr-FR"/>
              </w:rPr>
            </w:pPr>
            <w:r>
              <w:rPr>
                <w:rFonts w:cs="Times New Roman"/>
                <w:sz w:val="18"/>
                <w:szCs w:val="18"/>
                <w:lang w:val="fr-FR"/>
              </w:rPr>
              <w:t>（3）本</w:t>
            </w:r>
            <w:r>
              <w:rPr>
                <w:rFonts w:hint="eastAsia" w:cs="Times New Roman"/>
                <w:sz w:val="18"/>
                <w:szCs w:val="18"/>
                <w:lang w:val="fr-FR"/>
              </w:rPr>
              <w:t>项目</w:t>
            </w:r>
            <w:r>
              <w:rPr>
                <w:rFonts w:cs="Times New Roman"/>
                <w:sz w:val="18"/>
                <w:szCs w:val="18"/>
                <w:lang w:val="fr-FR"/>
              </w:rPr>
              <w:t>拆除施工产生的建筑垃圾主要为拆除产生的导、地线等电气设备，建筑垃圾统一交由建设单位物资部门回收处理，不得随意丢弃。</w:t>
            </w:r>
          </w:p>
        </w:tc>
        <w:tc>
          <w:tcPr>
            <w:tcW w:w="806" w:type="pct"/>
            <w:vAlign w:val="center"/>
          </w:tcPr>
          <w:p>
            <w:pPr>
              <w:adjustRightInd w:val="0"/>
              <w:snapToGrid w:val="0"/>
              <w:rPr>
                <w:rFonts w:cs="Times New Roman"/>
                <w:sz w:val="18"/>
                <w:szCs w:val="18"/>
                <w:lang w:val="fr-FR"/>
              </w:rPr>
            </w:pPr>
            <w:r>
              <w:rPr>
                <w:rFonts w:cs="Times New Roman"/>
                <w:sz w:val="18"/>
                <w:szCs w:val="18"/>
                <w:lang w:val="fr-FR"/>
              </w:rPr>
              <w:t>建筑垃圾按满足当地相关要求进行妥善处理。</w:t>
            </w:r>
          </w:p>
          <w:p>
            <w:pPr>
              <w:adjustRightInd w:val="0"/>
              <w:snapToGrid w:val="0"/>
              <w:rPr>
                <w:rFonts w:cs="Times New Roman"/>
                <w:sz w:val="18"/>
                <w:szCs w:val="18"/>
                <w:lang w:val="fr-FR"/>
              </w:rPr>
            </w:pPr>
            <w:r>
              <w:rPr>
                <w:rFonts w:cs="Times New Roman"/>
                <w:sz w:val="18"/>
                <w:szCs w:val="18"/>
                <w:lang w:val="fr-FR"/>
              </w:rPr>
              <w:t>生活垃圾收集后集中运出。</w:t>
            </w:r>
          </w:p>
        </w:tc>
        <w:tc>
          <w:tcPr>
            <w:tcW w:w="1043" w:type="pct"/>
            <w:vAlign w:val="center"/>
          </w:tcPr>
          <w:p>
            <w:pPr>
              <w:adjustRightInd w:val="0"/>
              <w:snapToGrid w:val="0"/>
              <w:jc w:val="center"/>
              <w:rPr>
                <w:rFonts w:cs="Times New Roman"/>
                <w:sz w:val="18"/>
                <w:szCs w:val="18"/>
                <w:lang w:val="fr-FR"/>
              </w:rPr>
            </w:pPr>
            <w:r>
              <w:rPr>
                <w:rFonts w:cs="Times New Roman"/>
                <w:sz w:val="18"/>
                <w:szCs w:val="18"/>
              </w:rPr>
              <w:t>/</w:t>
            </w:r>
          </w:p>
        </w:tc>
        <w:tc>
          <w:tcPr>
            <w:tcW w:w="944" w:type="pct"/>
            <w:vAlign w:val="center"/>
          </w:tcPr>
          <w:p>
            <w:pPr>
              <w:adjustRightInd w:val="0"/>
              <w:snapToGrid w:val="0"/>
              <w:jc w:val="center"/>
              <w:rPr>
                <w:rFonts w:cs="Times New Roman"/>
                <w:sz w:val="18"/>
                <w:szCs w:val="18"/>
                <w:lang w:val="fr-FR"/>
              </w:rPr>
            </w:pPr>
            <w:r>
              <w:rPr>
                <w:rFonts w:cs="Times New Roman"/>
                <w:sz w:val="18"/>
                <w:szCs w:val="1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932" w:hRule="atLeast"/>
          <w:jc w:val="center"/>
        </w:trPr>
        <w:tc>
          <w:tcPr>
            <w:tcW w:w="270" w:type="pct"/>
            <w:vAlign w:val="center"/>
          </w:tcPr>
          <w:p>
            <w:pPr>
              <w:adjustRightInd w:val="0"/>
              <w:snapToGrid w:val="0"/>
              <w:jc w:val="center"/>
              <w:rPr>
                <w:rFonts w:cs="Times New Roman"/>
                <w:sz w:val="18"/>
                <w:szCs w:val="18"/>
                <w:highlight w:val="yellow"/>
              </w:rPr>
            </w:pPr>
            <w:r>
              <w:rPr>
                <w:rFonts w:cs="Times New Roman"/>
                <w:sz w:val="18"/>
                <w:szCs w:val="18"/>
              </w:rPr>
              <w:t>电磁环境</w:t>
            </w:r>
          </w:p>
        </w:tc>
        <w:tc>
          <w:tcPr>
            <w:tcW w:w="1937" w:type="pct"/>
            <w:vAlign w:val="center"/>
          </w:tcPr>
          <w:p>
            <w:pPr>
              <w:adjustRightInd w:val="0"/>
              <w:snapToGrid w:val="0"/>
              <w:rPr>
                <w:rFonts w:cs="Times New Roman"/>
                <w:sz w:val="18"/>
                <w:szCs w:val="18"/>
                <w:highlight w:val="yellow"/>
                <w:lang w:val="fr-FR"/>
              </w:rPr>
            </w:pPr>
            <w:r>
              <w:rPr>
                <w:rFonts w:cs="Times New Roman"/>
                <w:sz w:val="18"/>
                <w:szCs w:val="18"/>
                <w:lang w:val="fr-FR"/>
              </w:rPr>
              <w:t>本项目拟建110kV架空线路应根据本报告提出的最低线高要求进行优化，即当线路位于耕养区时最低线高应满足6m，当线路位于公众曝露区时最低线高应分别满足7m（非跨越环境敏感目标建筑）</w:t>
            </w:r>
            <w:r>
              <w:rPr>
                <w:rFonts w:hint="eastAsia" w:cs="Times New Roman"/>
                <w:sz w:val="18"/>
                <w:szCs w:val="18"/>
                <w:lang w:val="fr-FR"/>
              </w:rPr>
              <w:t>。</w:t>
            </w:r>
          </w:p>
        </w:tc>
        <w:tc>
          <w:tcPr>
            <w:tcW w:w="806" w:type="pct"/>
            <w:vAlign w:val="center"/>
          </w:tcPr>
          <w:p>
            <w:pPr>
              <w:adjustRightInd w:val="0"/>
              <w:snapToGrid w:val="0"/>
              <w:rPr>
                <w:rFonts w:cs="Times New Roman"/>
                <w:sz w:val="18"/>
                <w:szCs w:val="18"/>
                <w:lang w:val="fr-FR"/>
              </w:rPr>
            </w:pPr>
            <w:r>
              <w:rPr>
                <w:rFonts w:cs="Times New Roman"/>
                <w:sz w:val="18"/>
                <w:szCs w:val="18"/>
                <w:lang w:val="fr-FR"/>
              </w:rPr>
              <w:t>满足设计规程要求，满足标准要求。</w:t>
            </w:r>
          </w:p>
        </w:tc>
        <w:tc>
          <w:tcPr>
            <w:tcW w:w="1043" w:type="pct"/>
            <w:vAlign w:val="center"/>
          </w:tcPr>
          <w:p>
            <w:pPr>
              <w:adjustRightInd w:val="0"/>
              <w:snapToGrid w:val="0"/>
              <w:rPr>
                <w:rFonts w:cs="Times New Roman"/>
                <w:sz w:val="18"/>
                <w:szCs w:val="18"/>
                <w:lang w:val="fr-FR"/>
              </w:rPr>
            </w:pPr>
            <w:r>
              <w:rPr>
                <w:rFonts w:cs="Times New Roman"/>
                <w:sz w:val="18"/>
                <w:szCs w:val="18"/>
                <w:lang w:val="fr-FR"/>
              </w:rPr>
              <w:t>运行期做好设施的维护和运行管理，定期开展环境监测</w:t>
            </w:r>
          </w:p>
        </w:tc>
        <w:tc>
          <w:tcPr>
            <w:tcW w:w="944" w:type="pct"/>
            <w:vAlign w:val="center"/>
          </w:tcPr>
          <w:p>
            <w:pPr>
              <w:adjustRightInd w:val="0"/>
              <w:snapToGrid w:val="0"/>
              <w:rPr>
                <w:rFonts w:cs="Times New Roman"/>
                <w:sz w:val="18"/>
                <w:szCs w:val="18"/>
                <w:lang w:val="fr-FR"/>
              </w:rPr>
            </w:pPr>
            <w:r>
              <w:rPr>
                <w:rFonts w:cs="Times New Roman"/>
                <w:sz w:val="18"/>
                <w:szCs w:val="18"/>
                <w:lang w:val="fr-FR"/>
              </w:rPr>
              <w:t>输电线路沿线的电磁环境敏感目标处的工频电场强度、工频磁感应强度均分别满足《电磁环境控制限值》（GB8702-2014）中工频电场强度4</w:t>
            </w:r>
            <w:r>
              <w:rPr>
                <w:rFonts w:hint="eastAsia" w:cs="Times New Roman"/>
                <w:sz w:val="18"/>
                <w:szCs w:val="18"/>
              </w:rPr>
              <w:t>k</w:t>
            </w:r>
            <w:r>
              <w:rPr>
                <w:rFonts w:cs="Times New Roman"/>
                <w:sz w:val="18"/>
                <w:szCs w:val="18"/>
                <w:lang w:val="fr-FR"/>
              </w:rPr>
              <w:t>V/m，工频磁感应强度100μT的公众曝露控制限值。具体电磁环境评价详见电磁环境影响评价专题。</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207"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环境风险</w:t>
            </w:r>
          </w:p>
        </w:tc>
        <w:tc>
          <w:tcPr>
            <w:tcW w:w="1937" w:type="pct"/>
            <w:vAlign w:val="center"/>
          </w:tcPr>
          <w:p>
            <w:pPr>
              <w:adjustRightInd w:val="0"/>
              <w:snapToGrid w:val="0"/>
              <w:jc w:val="center"/>
              <w:rPr>
                <w:rFonts w:cs="Times New Roman"/>
                <w:sz w:val="18"/>
                <w:szCs w:val="18"/>
              </w:rPr>
            </w:pPr>
            <w:r>
              <w:rPr>
                <w:rFonts w:cs="Times New Roman"/>
                <w:sz w:val="18"/>
                <w:szCs w:val="18"/>
              </w:rPr>
              <w:t>/</w:t>
            </w:r>
          </w:p>
        </w:tc>
        <w:tc>
          <w:tcPr>
            <w:tcW w:w="806" w:type="pct"/>
            <w:vAlign w:val="center"/>
          </w:tcPr>
          <w:p>
            <w:pPr>
              <w:adjustRightInd w:val="0"/>
              <w:snapToGrid w:val="0"/>
              <w:jc w:val="center"/>
              <w:rPr>
                <w:rFonts w:cs="Times New Roman"/>
                <w:sz w:val="18"/>
                <w:szCs w:val="18"/>
              </w:rPr>
            </w:pPr>
            <w:r>
              <w:rPr>
                <w:rFonts w:cs="Times New Roman"/>
                <w:sz w:val="18"/>
                <w:szCs w:val="18"/>
              </w:rPr>
              <w:t>/</w:t>
            </w:r>
          </w:p>
        </w:tc>
        <w:tc>
          <w:tcPr>
            <w:tcW w:w="1043" w:type="pct"/>
            <w:vAlign w:val="center"/>
          </w:tcPr>
          <w:p>
            <w:pPr>
              <w:jc w:val="center"/>
              <w:rPr>
                <w:rFonts w:cs="Times New Roman"/>
                <w:sz w:val="18"/>
                <w:szCs w:val="18"/>
              </w:rPr>
            </w:pPr>
            <w:r>
              <w:rPr>
                <w:rFonts w:cs="Times New Roman"/>
                <w:sz w:val="18"/>
                <w:szCs w:val="18"/>
              </w:rPr>
              <w:t>/</w:t>
            </w:r>
          </w:p>
        </w:tc>
        <w:tc>
          <w:tcPr>
            <w:tcW w:w="944" w:type="pct"/>
            <w:vAlign w:val="center"/>
          </w:tcPr>
          <w:p>
            <w:pPr>
              <w:jc w:val="center"/>
              <w:rPr>
                <w:rFonts w:cs="Times New Roman"/>
                <w:sz w:val="18"/>
                <w:szCs w:val="18"/>
              </w:rPr>
            </w:pPr>
            <w:r>
              <w:rPr>
                <w:rFonts w:cs="Times New Roman"/>
                <w:sz w:val="18"/>
                <w:szCs w:val="1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124"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环境监测</w:t>
            </w:r>
          </w:p>
        </w:tc>
        <w:tc>
          <w:tcPr>
            <w:tcW w:w="1937" w:type="pct"/>
            <w:vAlign w:val="center"/>
          </w:tcPr>
          <w:p>
            <w:pPr>
              <w:adjustRightInd w:val="0"/>
              <w:snapToGrid w:val="0"/>
              <w:jc w:val="center"/>
              <w:rPr>
                <w:rFonts w:cs="Times New Roman"/>
                <w:sz w:val="18"/>
                <w:szCs w:val="18"/>
              </w:rPr>
            </w:pPr>
            <w:r>
              <w:rPr>
                <w:rFonts w:cs="Times New Roman"/>
                <w:sz w:val="18"/>
                <w:szCs w:val="18"/>
              </w:rPr>
              <w:t>/</w:t>
            </w:r>
          </w:p>
        </w:tc>
        <w:tc>
          <w:tcPr>
            <w:tcW w:w="806" w:type="pct"/>
            <w:vAlign w:val="center"/>
          </w:tcPr>
          <w:p>
            <w:pPr>
              <w:adjustRightInd w:val="0"/>
              <w:snapToGrid w:val="0"/>
              <w:jc w:val="center"/>
              <w:rPr>
                <w:rFonts w:cs="Times New Roman"/>
                <w:sz w:val="18"/>
                <w:szCs w:val="18"/>
              </w:rPr>
            </w:pPr>
            <w:r>
              <w:rPr>
                <w:rFonts w:cs="Times New Roman"/>
                <w:sz w:val="18"/>
                <w:szCs w:val="18"/>
              </w:rPr>
              <w:t>/</w:t>
            </w:r>
          </w:p>
        </w:tc>
        <w:tc>
          <w:tcPr>
            <w:tcW w:w="1043" w:type="pct"/>
            <w:vAlign w:val="center"/>
          </w:tcPr>
          <w:p>
            <w:pPr>
              <w:rPr>
                <w:rFonts w:cs="Times New Roman"/>
                <w:sz w:val="18"/>
                <w:szCs w:val="18"/>
              </w:rPr>
            </w:pPr>
            <w:r>
              <w:rPr>
                <w:rFonts w:cs="Times New Roman"/>
                <w:sz w:val="18"/>
                <w:szCs w:val="18"/>
              </w:rPr>
              <w:t>项目投入运行后，应及时委托有资质的单位进行工频电场、工频磁场和环境噪声环境监测工作。</w:t>
            </w:r>
          </w:p>
        </w:tc>
        <w:tc>
          <w:tcPr>
            <w:tcW w:w="944" w:type="pct"/>
            <w:vAlign w:val="center"/>
          </w:tcPr>
          <w:p>
            <w:pPr>
              <w:rPr>
                <w:rFonts w:cs="Times New Roman"/>
                <w:sz w:val="18"/>
                <w:szCs w:val="18"/>
              </w:rPr>
            </w:pPr>
            <w:r>
              <w:rPr>
                <w:rFonts w:cs="Times New Roman"/>
                <w:sz w:val="18"/>
                <w:szCs w:val="18"/>
              </w:rPr>
              <w:t>验收落实情况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75" w:hRule="atLeast"/>
          <w:jc w:val="center"/>
        </w:trPr>
        <w:tc>
          <w:tcPr>
            <w:tcW w:w="270" w:type="pct"/>
            <w:vAlign w:val="center"/>
          </w:tcPr>
          <w:p>
            <w:pPr>
              <w:adjustRightInd w:val="0"/>
              <w:snapToGrid w:val="0"/>
              <w:jc w:val="center"/>
              <w:rPr>
                <w:rFonts w:cs="Times New Roman"/>
                <w:sz w:val="18"/>
                <w:szCs w:val="18"/>
              </w:rPr>
            </w:pPr>
            <w:r>
              <w:rPr>
                <w:rFonts w:cs="Times New Roman"/>
                <w:sz w:val="18"/>
                <w:szCs w:val="18"/>
              </w:rPr>
              <w:t>其他</w:t>
            </w:r>
          </w:p>
        </w:tc>
        <w:tc>
          <w:tcPr>
            <w:tcW w:w="1937" w:type="pct"/>
            <w:vAlign w:val="center"/>
          </w:tcPr>
          <w:p>
            <w:pPr>
              <w:adjustRightInd w:val="0"/>
              <w:snapToGrid w:val="0"/>
              <w:jc w:val="center"/>
              <w:rPr>
                <w:rFonts w:cs="Times New Roman"/>
                <w:sz w:val="18"/>
                <w:szCs w:val="18"/>
              </w:rPr>
            </w:pPr>
            <w:r>
              <w:rPr>
                <w:rFonts w:cs="Times New Roman"/>
                <w:sz w:val="18"/>
                <w:szCs w:val="18"/>
              </w:rPr>
              <w:t>/</w:t>
            </w:r>
          </w:p>
        </w:tc>
        <w:tc>
          <w:tcPr>
            <w:tcW w:w="806" w:type="pct"/>
            <w:vAlign w:val="center"/>
          </w:tcPr>
          <w:p>
            <w:pPr>
              <w:adjustRightInd w:val="0"/>
              <w:snapToGrid w:val="0"/>
              <w:jc w:val="center"/>
              <w:rPr>
                <w:rFonts w:cs="Times New Roman"/>
                <w:sz w:val="18"/>
                <w:szCs w:val="18"/>
              </w:rPr>
            </w:pPr>
            <w:r>
              <w:rPr>
                <w:rFonts w:cs="Times New Roman"/>
                <w:sz w:val="18"/>
                <w:szCs w:val="18"/>
              </w:rPr>
              <w:t>/</w:t>
            </w:r>
          </w:p>
        </w:tc>
        <w:tc>
          <w:tcPr>
            <w:tcW w:w="1043" w:type="pct"/>
            <w:vAlign w:val="center"/>
          </w:tcPr>
          <w:p>
            <w:pPr>
              <w:adjustRightInd w:val="0"/>
              <w:snapToGrid w:val="0"/>
              <w:jc w:val="center"/>
              <w:rPr>
                <w:rFonts w:cs="Times New Roman"/>
                <w:sz w:val="18"/>
                <w:szCs w:val="18"/>
              </w:rPr>
            </w:pPr>
            <w:r>
              <w:rPr>
                <w:rFonts w:cs="Times New Roman"/>
                <w:sz w:val="18"/>
                <w:szCs w:val="18"/>
              </w:rPr>
              <w:t>/</w:t>
            </w:r>
          </w:p>
        </w:tc>
        <w:tc>
          <w:tcPr>
            <w:tcW w:w="944" w:type="pct"/>
            <w:vAlign w:val="center"/>
          </w:tcPr>
          <w:p>
            <w:pPr>
              <w:adjustRightInd w:val="0"/>
              <w:snapToGrid w:val="0"/>
              <w:jc w:val="center"/>
              <w:rPr>
                <w:rFonts w:cs="Times New Roman"/>
                <w:sz w:val="18"/>
                <w:szCs w:val="18"/>
              </w:rPr>
            </w:pPr>
            <w:r>
              <w:rPr>
                <w:rFonts w:cs="Times New Roman"/>
                <w:sz w:val="18"/>
                <w:szCs w:val="18"/>
              </w:rPr>
              <w:t>/</w:t>
            </w:r>
          </w:p>
        </w:tc>
      </w:tr>
    </w:tbl>
    <w:p>
      <w:pPr>
        <w:rPr>
          <w:rFonts w:cs="Times New Roman"/>
          <w:highlight w:val="yellow"/>
        </w:rPr>
        <w:sectPr>
          <w:pgSz w:w="16838" w:h="11905" w:orient="landscape"/>
          <w:pgMar w:top="1417" w:right="1418" w:bottom="1417" w:left="1418" w:header="851" w:footer="992" w:gutter="0"/>
          <w:cols w:space="0" w:num="1"/>
          <w:docGrid w:type="lines" w:linePitch="312" w:charSpace="0"/>
        </w:sectPr>
      </w:pPr>
    </w:p>
    <w:p>
      <w:pPr>
        <w:keepNext/>
        <w:spacing w:line="0" w:lineRule="atLeast"/>
        <w:jc w:val="center"/>
        <w:outlineLvl w:val="0"/>
        <w:rPr>
          <w:rFonts w:eastAsia="黑体" w:cs="Times New Roman"/>
          <w:bCs/>
          <w:sz w:val="28"/>
          <w:szCs w:val="28"/>
        </w:rPr>
      </w:pPr>
      <w:bookmarkStart w:id="62" w:name="_Toc103786380"/>
      <w:bookmarkStart w:id="63" w:name="_Toc69466532"/>
      <w:r>
        <w:rPr>
          <w:rFonts w:eastAsia="黑体" w:cs="Times New Roman"/>
          <w:bCs/>
          <w:sz w:val="28"/>
          <w:szCs w:val="28"/>
        </w:rPr>
        <w:t>七、结  论</w:t>
      </w:r>
      <w:bookmarkEnd w:id="62"/>
      <w:bookmarkEnd w:id="63"/>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906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13421" w:hRule="atLeast"/>
        </w:trPr>
        <w:tc>
          <w:tcPr>
            <w:tcW w:w="9065" w:type="dxa"/>
          </w:tcPr>
          <w:p>
            <w:pPr>
              <w:spacing w:line="360" w:lineRule="auto"/>
              <w:ind w:firstLine="420"/>
              <w:rPr>
                <w:rFonts w:cs="Times New Roman"/>
                <w:kern w:val="0"/>
                <w:highlight w:val="yellow"/>
              </w:rPr>
            </w:pPr>
            <w:bookmarkStart w:id="64" w:name="OLE_LINK3"/>
            <w:bookmarkStart w:id="65" w:name="_Hlk100670537"/>
            <w:r>
              <w:rPr>
                <w:rFonts w:hint="eastAsia" w:cs="Times New Roman"/>
                <w:szCs w:val="21"/>
              </w:rPr>
              <w:t>杭州机场高铁工程涉及输电线路改迁工程110kV民盐1292线20#-22#改迁工程</w:t>
            </w:r>
            <w:r>
              <w:rPr>
                <w:rFonts w:cs="Times New Roman"/>
                <w:kern w:val="0"/>
              </w:rPr>
              <w:t>的建设是必要的，本工程不涉及</w:t>
            </w:r>
            <w:r>
              <w:rPr>
                <w:rFonts w:cs="Times New Roman"/>
              </w:rPr>
              <w:t>国家公园、自然保护区、</w:t>
            </w:r>
            <w:r>
              <w:rPr>
                <w:rFonts w:hint="eastAsia" w:cs="Times New Roman"/>
              </w:rPr>
              <w:t>风景名胜区</w:t>
            </w:r>
            <w:r>
              <w:rPr>
                <w:rFonts w:cs="Times New Roman"/>
              </w:rPr>
              <w:t>、世界</w:t>
            </w:r>
            <w:r>
              <w:rPr>
                <w:rFonts w:hint="eastAsia" w:cs="Times New Roman"/>
              </w:rPr>
              <w:t>文化和</w:t>
            </w:r>
            <w:r>
              <w:rPr>
                <w:rFonts w:cs="Times New Roman"/>
              </w:rPr>
              <w:t>自然遗产</w:t>
            </w:r>
            <w:r>
              <w:rPr>
                <w:rFonts w:hint="eastAsia" w:cs="Times New Roman"/>
              </w:rPr>
              <w:t>地</w:t>
            </w:r>
            <w:r>
              <w:rPr>
                <w:rFonts w:cs="Times New Roman"/>
              </w:rPr>
              <w:t>、用水水源保护区</w:t>
            </w:r>
            <w:r>
              <w:rPr>
                <w:rFonts w:cs="Times New Roman"/>
                <w:kern w:val="0"/>
              </w:rPr>
              <w:t>等环境敏感区</w:t>
            </w:r>
            <w:r>
              <w:rPr>
                <w:rFonts w:hint="eastAsia" w:cs="Times New Roman"/>
                <w:kern w:val="0"/>
              </w:rPr>
              <w:t>和生态保护红线</w:t>
            </w:r>
            <w:r>
              <w:rPr>
                <w:rFonts w:cs="Times New Roman"/>
                <w:kern w:val="0"/>
              </w:rPr>
              <w:t>。</w:t>
            </w:r>
            <w:r>
              <w:rPr>
                <w:rFonts w:hint="eastAsia" w:cs="Times New Roman"/>
                <w:kern w:val="0"/>
              </w:rPr>
              <w:t>在采取并落实</w:t>
            </w:r>
            <w:r>
              <w:rPr>
                <w:rFonts w:cs="Times New Roman"/>
                <w:kern w:val="0"/>
              </w:rPr>
              <w:t>取相应的</w:t>
            </w:r>
            <w:r>
              <w:rPr>
                <w:rFonts w:hint="eastAsia" w:cs="Times New Roman"/>
                <w:kern w:val="0"/>
              </w:rPr>
              <w:t>环境保护措施和</w:t>
            </w:r>
            <w:r>
              <w:rPr>
                <w:rFonts w:cs="Times New Roman"/>
                <w:kern w:val="0"/>
              </w:rPr>
              <w:t>管理措施</w:t>
            </w:r>
            <w:r>
              <w:rPr>
                <w:rFonts w:hint="eastAsia" w:cs="Times New Roman"/>
                <w:kern w:val="0"/>
              </w:rPr>
              <w:t>后，</w:t>
            </w:r>
            <w:r>
              <w:rPr>
                <w:rFonts w:cs="Times New Roman"/>
                <w:kern w:val="0"/>
              </w:rPr>
              <w:t>工程</w:t>
            </w:r>
            <w:r>
              <w:rPr>
                <w:rFonts w:hint="eastAsia" w:cs="Times New Roman"/>
                <w:kern w:val="0"/>
              </w:rPr>
              <w:t>建设</w:t>
            </w:r>
            <w:r>
              <w:rPr>
                <w:rFonts w:cs="Times New Roman"/>
                <w:kern w:val="0"/>
              </w:rPr>
              <w:t>对</w:t>
            </w:r>
            <w:r>
              <w:rPr>
                <w:rFonts w:hint="eastAsia" w:cs="Times New Roman"/>
                <w:kern w:val="0"/>
              </w:rPr>
              <w:t>周围</w:t>
            </w:r>
            <w:r>
              <w:rPr>
                <w:rFonts w:cs="Times New Roman"/>
                <w:kern w:val="0"/>
              </w:rPr>
              <w:t>生态环境影响</w:t>
            </w:r>
            <w:r>
              <w:rPr>
                <w:rFonts w:hint="eastAsia" w:cs="Times New Roman"/>
                <w:kern w:val="0"/>
              </w:rPr>
              <w:t>和得到有效减缓</w:t>
            </w:r>
            <w:r>
              <w:rPr>
                <w:rFonts w:cs="Times New Roman"/>
                <w:kern w:val="0"/>
              </w:rPr>
              <w:t>，电磁环境</w:t>
            </w:r>
            <w:r>
              <w:rPr>
                <w:rFonts w:hint="eastAsia" w:cs="Times New Roman"/>
                <w:kern w:val="0"/>
              </w:rPr>
              <w:t>和声环境影响能够满足国家相关标准要求，</w:t>
            </w:r>
            <w:r>
              <w:rPr>
                <w:rFonts w:cs="Times New Roman"/>
                <w:kern w:val="0"/>
              </w:rPr>
              <w:t>从环境保护角度</w:t>
            </w:r>
            <w:r>
              <w:rPr>
                <w:rFonts w:hint="eastAsia" w:cs="Times New Roman"/>
                <w:kern w:val="0"/>
              </w:rPr>
              <w:t>分析本</w:t>
            </w:r>
            <w:r>
              <w:rPr>
                <w:rFonts w:cs="Times New Roman"/>
                <w:kern w:val="0"/>
              </w:rPr>
              <w:t>工程建设是可行的。</w:t>
            </w:r>
          </w:p>
        </w:tc>
      </w:tr>
      <w:bookmarkEnd w:id="64"/>
      <w:bookmarkEnd w:id="65"/>
    </w:tbl>
    <w:p>
      <w:pPr>
        <w:rPr>
          <w:rFonts w:cs="Times New Roman"/>
          <w:highlight w:val="yellow"/>
        </w:rPr>
        <w:sectPr>
          <w:pgSz w:w="11906" w:h="16838"/>
          <w:pgMar w:top="1418" w:right="1418" w:bottom="1418" w:left="1418" w:header="851" w:footer="992" w:gutter="0"/>
          <w:cols w:space="425" w:num="1"/>
          <w:docGrid w:type="lines" w:linePitch="312" w:charSpace="0"/>
        </w:sectPr>
      </w:pPr>
    </w:p>
    <w:p>
      <w:pPr>
        <w:keepNext/>
        <w:spacing w:line="0" w:lineRule="atLeast"/>
        <w:jc w:val="center"/>
        <w:outlineLvl w:val="0"/>
        <w:rPr>
          <w:rFonts w:eastAsia="黑体" w:cs="Times New Roman"/>
          <w:bCs/>
          <w:sz w:val="28"/>
          <w:szCs w:val="28"/>
        </w:rPr>
      </w:pPr>
      <w:bookmarkStart w:id="66" w:name="_Toc103786381"/>
      <w:bookmarkStart w:id="67" w:name="_Toc69466533"/>
      <w:r>
        <w:rPr>
          <w:rFonts w:eastAsia="黑体" w:cs="Times New Roman"/>
          <w:bCs/>
          <w:sz w:val="28"/>
          <w:szCs w:val="28"/>
        </w:rPr>
        <w:t>电磁环境影响专项评价</w:t>
      </w:r>
      <w:bookmarkEnd w:id="66"/>
      <w:bookmarkEnd w:id="67"/>
    </w:p>
    <w:p>
      <w:pPr>
        <w:keepLines/>
        <w:numPr>
          <w:ilvl w:val="0"/>
          <w:numId w:val="13"/>
        </w:numPr>
        <w:spacing w:line="360" w:lineRule="auto"/>
        <w:outlineLvl w:val="1"/>
        <w:rPr>
          <w:rFonts w:eastAsia="黑体" w:cs="Times New Roman"/>
          <w:bCs/>
          <w:szCs w:val="32"/>
        </w:rPr>
      </w:pPr>
      <w:r>
        <w:rPr>
          <w:rFonts w:eastAsia="黑体" w:cs="Times New Roman"/>
          <w:bCs/>
          <w:szCs w:val="32"/>
        </w:rPr>
        <w:t>编制依据</w:t>
      </w:r>
    </w:p>
    <w:p>
      <w:pPr>
        <w:keepLines/>
        <w:numPr>
          <w:ilvl w:val="1"/>
          <w:numId w:val="0"/>
        </w:numPr>
        <w:spacing w:line="360" w:lineRule="auto"/>
        <w:outlineLvl w:val="2"/>
        <w:rPr>
          <w:rFonts w:eastAsia="黑体" w:cs="Times New Roman"/>
          <w:szCs w:val="32"/>
        </w:rPr>
      </w:pPr>
      <w:r>
        <w:rPr>
          <w:rFonts w:eastAsia="黑体" w:cs="Times New Roman"/>
          <w:szCs w:val="32"/>
        </w:rPr>
        <w:t>1.1  法律、法规</w:t>
      </w:r>
    </w:p>
    <w:p>
      <w:pPr>
        <w:spacing w:line="360" w:lineRule="auto"/>
        <w:ind w:left="420"/>
        <w:rPr>
          <w:rFonts w:cs="Times New Roman"/>
          <w:szCs w:val="21"/>
        </w:rPr>
      </w:pPr>
      <w:r>
        <w:rPr>
          <w:rFonts w:cs="Times New Roman"/>
          <w:szCs w:val="21"/>
        </w:rPr>
        <w:t>（1）《中华人民共和国环境保护法》，2015年1月1日施行；</w:t>
      </w:r>
    </w:p>
    <w:p>
      <w:pPr>
        <w:spacing w:line="360" w:lineRule="auto"/>
        <w:ind w:left="420"/>
        <w:rPr>
          <w:rFonts w:cs="Times New Roman"/>
          <w:szCs w:val="21"/>
        </w:rPr>
      </w:pPr>
      <w:r>
        <w:rPr>
          <w:rFonts w:cs="Times New Roman"/>
          <w:szCs w:val="21"/>
        </w:rPr>
        <w:t>（2）《中华人民共和国环境影响评价法》，2018年12月29日修正；</w:t>
      </w:r>
    </w:p>
    <w:p>
      <w:pPr>
        <w:spacing w:line="360" w:lineRule="auto"/>
        <w:ind w:left="420"/>
        <w:rPr>
          <w:rFonts w:cs="Times New Roman"/>
          <w:szCs w:val="21"/>
        </w:rPr>
      </w:pPr>
      <w:r>
        <w:rPr>
          <w:rFonts w:cs="Times New Roman"/>
          <w:szCs w:val="21"/>
        </w:rPr>
        <w:t>（3）《中华人民共和国电力法》，2018年12月29日修正；</w:t>
      </w:r>
    </w:p>
    <w:p>
      <w:pPr>
        <w:spacing w:line="360" w:lineRule="auto"/>
        <w:ind w:left="420"/>
        <w:rPr>
          <w:rFonts w:cs="Times New Roman"/>
          <w:szCs w:val="21"/>
        </w:rPr>
      </w:pPr>
      <w:r>
        <w:rPr>
          <w:rFonts w:cs="Times New Roman"/>
          <w:szCs w:val="21"/>
        </w:rPr>
        <w:t>（4）《电力设施保护条例》，2011年1月8日修订；</w:t>
      </w:r>
    </w:p>
    <w:p>
      <w:pPr>
        <w:spacing w:line="360" w:lineRule="auto"/>
        <w:ind w:left="420"/>
        <w:rPr>
          <w:rFonts w:cs="Times New Roman"/>
          <w:szCs w:val="21"/>
        </w:rPr>
      </w:pPr>
      <w:r>
        <w:rPr>
          <w:rFonts w:cs="Times New Roman"/>
          <w:szCs w:val="21"/>
        </w:rPr>
        <w:t>（5）《建设项目环境保护管理条例》，2017年10月1日。</w:t>
      </w:r>
    </w:p>
    <w:p>
      <w:pPr>
        <w:keepLines/>
        <w:numPr>
          <w:ilvl w:val="1"/>
          <w:numId w:val="0"/>
        </w:numPr>
        <w:spacing w:line="360" w:lineRule="auto"/>
        <w:outlineLvl w:val="2"/>
        <w:rPr>
          <w:rFonts w:eastAsia="黑体" w:cs="Times New Roman"/>
          <w:szCs w:val="32"/>
        </w:rPr>
      </w:pPr>
      <w:r>
        <w:rPr>
          <w:rFonts w:eastAsia="黑体" w:cs="Times New Roman"/>
          <w:szCs w:val="32"/>
        </w:rPr>
        <w:t>1.2  规范、导则</w:t>
      </w:r>
    </w:p>
    <w:p>
      <w:pPr>
        <w:spacing w:line="360" w:lineRule="auto"/>
        <w:ind w:firstLine="420" w:firstLineChars="200"/>
        <w:rPr>
          <w:rFonts w:cs="Times New Roman"/>
          <w:szCs w:val="21"/>
        </w:rPr>
      </w:pPr>
      <w:r>
        <w:rPr>
          <w:rFonts w:cs="Times New Roman"/>
          <w:szCs w:val="21"/>
        </w:rPr>
        <w:t>（1）《建设项目环境影响评价技术导则</w:t>
      </w:r>
      <w:r>
        <w:rPr>
          <w:rFonts w:hint="eastAsia" w:cs="Times New Roman"/>
          <w:szCs w:val="21"/>
        </w:rPr>
        <w:t xml:space="preserve"> </w:t>
      </w:r>
      <w:r>
        <w:rPr>
          <w:rFonts w:cs="Times New Roman"/>
          <w:szCs w:val="21"/>
        </w:rPr>
        <w:t>总纲》（HJ 2.1-2016）；</w:t>
      </w:r>
    </w:p>
    <w:p>
      <w:pPr>
        <w:spacing w:line="360" w:lineRule="auto"/>
        <w:ind w:firstLine="420" w:firstLineChars="200"/>
        <w:rPr>
          <w:rFonts w:cs="Times New Roman"/>
          <w:szCs w:val="21"/>
        </w:rPr>
      </w:pPr>
      <w:r>
        <w:rPr>
          <w:rFonts w:cs="Times New Roman"/>
          <w:szCs w:val="21"/>
        </w:rPr>
        <w:t>（2）《环境影响评价技术导则 输变电》（HJ 24-2020）；</w:t>
      </w:r>
    </w:p>
    <w:p>
      <w:pPr>
        <w:spacing w:line="360" w:lineRule="auto"/>
        <w:ind w:firstLine="420" w:firstLineChars="200"/>
        <w:rPr>
          <w:rFonts w:cs="Times New Roman"/>
          <w:szCs w:val="21"/>
        </w:rPr>
      </w:pPr>
      <w:r>
        <w:rPr>
          <w:rFonts w:cs="Times New Roman"/>
          <w:szCs w:val="21"/>
        </w:rPr>
        <w:t>（3）《电磁环境控制限值》（GB 8702-2014）；</w:t>
      </w:r>
    </w:p>
    <w:p>
      <w:pPr>
        <w:spacing w:line="360" w:lineRule="auto"/>
        <w:ind w:firstLine="420" w:firstLineChars="200"/>
        <w:rPr>
          <w:rFonts w:cs="Times New Roman"/>
          <w:szCs w:val="21"/>
        </w:rPr>
      </w:pPr>
      <w:r>
        <w:rPr>
          <w:rFonts w:cs="Times New Roman"/>
          <w:szCs w:val="21"/>
        </w:rPr>
        <w:t>（4）《交流输变电工程电磁环境监测方法（试行）》（HJ 681-2013）。</w:t>
      </w:r>
    </w:p>
    <w:p>
      <w:pPr>
        <w:keepLines/>
        <w:numPr>
          <w:ilvl w:val="1"/>
          <w:numId w:val="0"/>
        </w:numPr>
        <w:spacing w:line="360" w:lineRule="auto"/>
        <w:outlineLvl w:val="2"/>
        <w:rPr>
          <w:rFonts w:eastAsia="黑体" w:cs="Times New Roman"/>
          <w:szCs w:val="32"/>
        </w:rPr>
      </w:pPr>
      <w:r>
        <w:rPr>
          <w:rFonts w:eastAsia="黑体" w:cs="Times New Roman"/>
          <w:szCs w:val="32"/>
        </w:rPr>
        <w:t>1.3  工程设计文件</w:t>
      </w:r>
    </w:p>
    <w:p>
      <w:pPr>
        <w:spacing w:line="360" w:lineRule="auto"/>
        <w:ind w:firstLine="420" w:firstLineChars="200"/>
        <w:rPr>
          <w:rFonts w:cs="Times New Roman"/>
          <w:szCs w:val="21"/>
        </w:rPr>
      </w:pPr>
      <w:r>
        <w:rPr>
          <w:rFonts w:cs="Times New Roman"/>
          <w:szCs w:val="21"/>
        </w:rPr>
        <w:t>（1）《</w:t>
      </w:r>
      <w:r>
        <w:rPr>
          <w:rFonts w:hint="eastAsia" w:cs="Times New Roman"/>
          <w:szCs w:val="21"/>
        </w:rPr>
        <w:t>杭州机场高铁工程涉及输电线路改迁工程110kV民盐1292线20#-22#改迁工程</w:t>
      </w:r>
      <w:r>
        <w:rPr>
          <w:rFonts w:cs="Times New Roman"/>
          <w:szCs w:val="21"/>
        </w:rPr>
        <w:t>可行性研究报告》；</w:t>
      </w:r>
    </w:p>
    <w:p>
      <w:pPr>
        <w:keepLines/>
        <w:numPr>
          <w:ilvl w:val="0"/>
          <w:numId w:val="13"/>
        </w:numPr>
        <w:spacing w:line="360" w:lineRule="auto"/>
        <w:outlineLvl w:val="1"/>
        <w:rPr>
          <w:rFonts w:eastAsia="黑体" w:cs="Times New Roman"/>
          <w:bCs/>
          <w:szCs w:val="32"/>
        </w:rPr>
      </w:pPr>
      <w:r>
        <w:rPr>
          <w:rFonts w:eastAsia="黑体" w:cs="Times New Roman"/>
          <w:bCs/>
          <w:szCs w:val="32"/>
        </w:rPr>
        <w:t>项目概况</w:t>
      </w:r>
    </w:p>
    <w:p>
      <w:pPr>
        <w:spacing w:line="360" w:lineRule="auto"/>
        <w:ind w:firstLine="420" w:firstLineChars="200"/>
        <w:rPr>
          <w:rFonts w:cs="Times New Roman"/>
          <w:szCs w:val="21"/>
        </w:rPr>
      </w:pPr>
      <w:r>
        <w:rPr>
          <w:rFonts w:hint="eastAsia" w:cs="Times New Roman"/>
          <w:szCs w:val="21"/>
        </w:rPr>
        <w:t>原110kV民盐20#塔小号侧新建1#终端塔，线路沿规划杭州机场高铁西侧往南架线，跨过杭州机场高铁后，线路右转于原110kV民盐22#塔大号侧新建4#终端塔接回原线路。新建110双回架空线路0.7km，新建110单回架空线路0.12km，新建双回路杆塔4基，拆除原线路长度0.</w:t>
      </w:r>
      <w:r>
        <w:rPr>
          <w:rFonts w:cs="Times New Roman"/>
          <w:szCs w:val="21"/>
        </w:rPr>
        <w:t>7</w:t>
      </w:r>
      <w:r>
        <w:rPr>
          <w:rFonts w:hint="eastAsia" w:cs="Times New Roman"/>
          <w:szCs w:val="21"/>
        </w:rPr>
        <w:t>1km，拆除铁塔3基。</w:t>
      </w:r>
    </w:p>
    <w:p>
      <w:pPr>
        <w:keepLines/>
        <w:spacing w:line="360" w:lineRule="auto"/>
        <w:outlineLvl w:val="1"/>
        <w:rPr>
          <w:rFonts w:eastAsia="黑体" w:cs="Times New Roman"/>
          <w:bCs/>
          <w:szCs w:val="32"/>
        </w:rPr>
      </w:pPr>
      <w:r>
        <w:rPr>
          <w:rFonts w:eastAsia="黑体" w:cs="Times New Roman"/>
          <w:bCs/>
          <w:szCs w:val="32"/>
        </w:rPr>
        <w:t>3  总则</w:t>
      </w:r>
    </w:p>
    <w:p>
      <w:pPr>
        <w:keepLines/>
        <w:numPr>
          <w:ilvl w:val="1"/>
          <w:numId w:val="0"/>
        </w:numPr>
        <w:spacing w:line="360" w:lineRule="auto"/>
        <w:outlineLvl w:val="2"/>
        <w:rPr>
          <w:rFonts w:eastAsia="黑体" w:cs="Times New Roman"/>
          <w:szCs w:val="32"/>
        </w:rPr>
      </w:pPr>
      <w:r>
        <w:rPr>
          <w:rFonts w:eastAsia="黑体" w:cs="Times New Roman"/>
          <w:szCs w:val="32"/>
        </w:rPr>
        <w:t>3.1  评价因子与评价标准</w:t>
      </w:r>
    </w:p>
    <w:p>
      <w:pPr>
        <w:spacing w:line="360" w:lineRule="auto"/>
        <w:ind w:firstLine="420" w:firstLineChars="200"/>
        <w:rPr>
          <w:rFonts w:cs="Times New Roman"/>
          <w:szCs w:val="21"/>
        </w:rPr>
      </w:pPr>
      <w:r>
        <w:rPr>
          <w:rFonts w:cs="Times New Roman"/>
          <w:szCs w:val="21"/>
        </w:rPr>
        <w:t>（1）评价因子</w:t>
      </w:r>
    </w:p>
    <w:p>
      <w:pPr>
        <w:spacing w:line="360" w:lineRule="auto"/>
        <w:ind w:firstLine="420" w:firstLineChars="200"/>
        <w:rPr>
          <w:rFonts w:cs="Times New Roman"/>
          <w:szCs w:val="21"/>
        </w:rPr>
      </w:pPr>
      <w:r>
        <w:rPr>
          <w:rFonts w:cs="Times New Roman"/>
          <w:szCs w:val="21"/>
        </w:rPr>
        <w:t>电磁环境现状评价因子：工频电场、工频磁场；</w:t>
      </w:r>
    </w:p>
    <w:p>
      <w:pPr>
        <w:spacing w:line="360" w:lineRule="auto"/>
        <w:ind w:firstLine="420" w:firstLineChars="200"/>
        <w:rPr>
          <w:rFonts w:cs="Times New Roman"/>
          <w:szCs w:val="21"/>
        </w:rPr>
      </w:pPr>
      <w:r>
        <w:rPr>
          <w:rFonts w:cs="Times New Roman"/>
          <w:szCs w:val="21"/>
        </w:rPr>
        <w:t>电磁环境预测评价因子：工频电场、工频磁场。</w:t>
      </w:r>
    </w:p>
    <w:p>
      <w:pPr>
        <w:spacing w:line="360" w:lineRule="auto"/>
        <w:ind w:firstLine="420" w:firstLineChars="200"/>
        <w:rPr>
          <w:rFonts w:cs="Times New Roman"/>
          <w:szCs w:val="21"/>
        </w:rPr>
      </w:pPr>
      <w:r>
        <w:rPr>
          <w:rFonts w:cs="Times New Roman"/>
          <w:szCs w:val="21"/>
        </w:rPr>
        <w:t>（2）评价标准</w:t>
      </w:r>
    </w:p>
    <w:p>
      <w:pPr>
        <w:spacing w:line="360" w:lineRule="auto"/>
        <w:ind w:firstLine="420" w:firstLineChars="200"/>
        <w:rPr>
          <w:rFonts w:cs="Times New Roman"/>
          <w:szCs w:val="21"/>
        </w:rPr>
      </w:pPr>
      <w:r>
        <w:rPr>
          <w:rFonts w:cs="Times New Roman"/>
          <w:szCs w:val="21"/>
        </w:rPr>
        <w:t>根据《电磁环境控制限值》（GB 8072-2014），公众曝露工频电场强度控制限值为4</w:t>
      </w:r>
      <w:r>
        <w:rPr>
          <w:rFonts w:hint="eastAsia" w:cs="Times New Roman"/>
          <w:szCs w:val="21"/>
        </w:rPr>
        <w:t>k</w:t>
      </w:r>
      <w:r>
        <w:rPr>
          <w:rFonts w:cs="Times New Roman"/>
          <w:szCs w:val="21"/>
        </w:rPr>
        <w:t>V/m，工频磁感应强度控制限值为100μT。架空输电线路线下的耕地、园地、牧草地、畜禽养殖地、养殖水面、道路等场所，工频电场强度控制限值为10kV/m。</w:t>
      </w:r>
    </w:p>
    <w:p>
      <w:pPr>
        <w:keepLines/>
        <w:numPr>
          <w:ilvl w:val="1"/>
          <w:numId w:val="0"/>
        </w:numPr>
        <w:spacing w:line="360" w:lineRule="auto"/>
        <w:outlineLvl w:val="2"/>
        <w:rPr>
          <w:rFonts w:eastAsia="黑体" w:cs="Times New Roman"/>
          <w:szCs w:val="32"/>
        </w:rPr>
      </w:pPr>
      <w:r>
        <w:rPr>
          <w:rFonts w:eastAsia="黑体" w:cs="Times New Roman"/>
          <w:szCs w:val="32"/>
        </w:rPr>
        <w:t>3.2  评价等级</w:t>
      </w:r>
    </w:p>
    <w:p>
      <w:pPr>
        <w:spacing w:line="360" w:lineRule="auto"/>
        <w:ind w:firstLine="420" w:firstLineChars="200"/>
        <w:rPr>
          <w:rFonts w:cs="Times New Roman"/>
          <w:szCs w:val="21"/>
        </w:rPr>
      </w:pPr>
      <w:r>
        <w:rPr>
          <w:rFonts w:cs="Times New Roman"/>
          <w:szCs w:val="21"/>
        </w:rPr>
        <w:t>根据《环境影响评价技术导则  输变电》（HJ24-2020）</w:t>
      </w:r>
      <w:r>
        <w:rPr>
          <w:rFonts w:hint="eastAsia" w:cs="Times New Roman"/>
          <w:szCs w:val="21"/>
        </w:rPr>
        <w:t>：110kV架空线路边导线地面投影外两侧各10m范围内无电磁环境敏感目标</w:t>
      </w:r>
      <w:r>
        <w:rPr>
          <w:rFonts w:cs="Times New Roman"/>
          <w:szCs w:val="21"/>
        </w:rPr>
        <w:t>，电磁环境影响评价工作等级为三级。</w:t>
      </w:r>
    </w:p>
    <w:p>
      <w:pPr>
        <w:keepLines/>
        <w:numPr>
          <w:ilvl w:val="1"/>
          <w:numId w:val="0"/>
        </w:numPr>
        <w:spacing w:line="360" w:lineRule="auto"/>
        <w:outlineLvl w:val="2"/>
        <w:rPr>
          <w:rFonts w:eastAsia="黑体" w:cs="Times New Roman"/>
          <w:szCs w:val="32"/>
        </w:rPr>
      </w:pPr>
      <w:r>
        <w:rPr>
          <w:rFonts w:eastAsia="黑体" w:cs="Times New Roman"/>
          <w:szCs w:val="32"/>
        </w:rPr>
        <w:t>3.3  评价范围</w:t>
      </w:r>
    </w:p>
    <w:p>
      <w:pPr>
        <w:spacing w:line="360" w:lineRule="auto"/>
        <w:ind w:firstLine="420" w:firstLineChars="200"/>
        <w:rPr>
          <w:rFonts w:cs="Times New Roman"/>
          <w:szCs w:val="21"/>
        </w:rPr>
      </w:pPr>
      <w:r>
        <w:rPr>
          <w:rFonts w:cs="Times New Roman"/>
          <w:szCs w:val="21"/>
        </w:rPr>
        <w:t>根据《环境影响评价技术导则 输变电》（HJ 24-2020），本</w:t>
      </w:r>
      <w:r>
        <w:rPr>
          <w:rFonts w:hint="eastAsia" w:cs="Times New Roman"/>
          <w:szCs w:val="21"/>
        </w:rPr>
        <w:t>项目</w:t>
      </w:r>
      <w:r>
        <w:rPr>
          <w:rFonts w:cs="Times New Roman"/>
          <w:szCs w:val="21"/>
        </w:rPr>
        <w:t>电磁环境评价范围为</w:t>
      </w:r>
      <w:r>
        <w:rPr>
          <w:rFonts w:hint="eastAsia" w:cs="Times New Roman"/>
          <w:szCs w:val="21"/>
        </w:rPr>
        <w:t>拟建</w:t>
      </w:r>
      <w:r>
        <w:rPr>
          <w:rFonts w:cs="Times New Roman"/>
          <w:szCs w:val="21"/>
        </w:rPr>
        <w:t>架空输电线路边导线地面投影外两侧各</w:t>
      </w:r>
      <w:r>
        <w:rPr>
          <w:rFonts w:hint="eastAsia" w:cs="Times New Roman"/>
          <w:szCs w:val="21"/>
        </w:rPr>
        <w:t>3</w:t>
      </w:r>
      <w:r>
        <w:rPr>
          <w:rFonts w:cs="Times New Roman"/>
          <w:szCs w:val="21"/>
        </w:rPr>
        <w:t>0m。</w:t>
      </w:r>
    </w:p>
    <w:p>
      <w:pPr>
        <w:keepLines/>
        <w:numPr>
          <w:ilvl w:val="1"/>
          <w:numId w:val="0"/>
        </w:numPr>
        <w:spacing w:line="360" w:lineRule="auto"/>
        <w:outlineLvl w:val="2"/>
        <w:rPr>
          <w:rFonts w:eastAsia="黑体" w:cs="Times New Roman"/>
          <w:szCs w:val="32"/>
        </w:rPr>
      </w:pPr>
      <w:r>
        <w:rPr>
          <w:rFonts w:eastAsia="黑体" w:cs="Times New Roman"/>
          <w:szCs w:val="32"/>
        </w:rPr>
        <w:t>3.4  电磁环境敏感目标</w:t>
      </w:r>
    </w:p>
    <w:p>
      <w:pPr>
        <w:spacing w:line="360" w:lineRule="auto"/>
        <w:ind w:firstLine="420" w:firstLineChars="200"/>
        <w:rPr>
          <w:rFonts w:cs="Times New Roman"/>
          <w:szCs w:val="21"/>
        </w:rPr>
      </w:pPr>
      <w:r>
        <w:rPr>
          <w:rFonts w:cs="Times New Roman"/>
          <w:szCs w:val="21"/>
        </w:rPr>
        <w:t>本</w:t>
      </w:r>
      <w:r>
        <w:rPr>
          <w:rFonts w:hint="eastAsia" w:cs="Times New Roman"/>
          <w:szCs w:val="21"/>
        </w:rPr>
        <w:t>项目</w:t>
      </w:r>
      <w:r>
        <w:rPr>
          <w:rFonts w:cs="Times New Roman"/>
          <w:szCs w:val="21"/>
        </w:rPr>
        <w:t>电磁环境敏感目标主要为拟建变电站和输电线路评价范围内住宅、学校、医院、办公楼、工厂等有公众居住、工作或学习的建筑物。本</w:t>
      </w:r>
      <w:r>
        <w:rPr>
          <w:rFonts w:hint="eastAsia" w:cs="Times New Roman"/>
          <w:szCs w:val="21"/>
        </w:rPr>
        <w:t>项目</w:t>
      </w:r>
      <w:r>
        <w:rPr>
          <w:rFonts w:cs="Times New Roman"/>
          <w:szCs w:val="21"/>
        </w:rPr>
        <w:t>电磁环境敏感目标情况详见表3.8-1。</w:t>
      </w:r>
    </w:p>
    <w:p>
      <w:pPr>
        <w:keepLines/>
        <w:spacing w:line="360" w:lineRule="auto"/>
        <w:outlineLvl w:val="1"/>
        <w:rPr>
          <w:rFonts w:eastAsia="黑体" w:cs="Times New Roman"/>
          <w:bCs/>
          <w:szCs w:val="32"/>
        </w:rPr>
      </w:pPr>
      <w:r>
        <w:rPr>
          <w:rFonts w:eastAsia="黑体" w:cs="Times New Roman"/>
          <w:bCs/>
          <w:szCs w:val="32"/>
        </w:rPr>
        <w:t>4  电磁环境现状评价</w:t>
      </w:r>
    </w:p>
    <w:p>
      <w:pPr>
        <w:keepLines/>
        <w:numPr>
          <w:ilvl w:val="1"/>
          <w:numId w:val="0"/>
        </w:numPr>
        <w:spacing w:line="360" w:lineRule="auto"/>
        <w:outlineLvl w:val="2"/>
        <w:rPr>
          <w:rFonts w:eastAsia="黑体" w:cs="Times New Roman"/>
          <w:szCs w:val="32"/>
        </w:rPr>
      </w:pPr>
      <w:r>
        <w:rPr>
          <w:rFonts w:eastAsia="黑体" w:cs="Times New Roman"/>
          <w:szCs w:val="32"/>
        </w:rPr>
        <w:t>4.1  监测因子</w:t>
      </w:r>
    </w:p>
    <w:p>
      <w:pPr>
        <w:ind w:firstLine="420"/>
        <w:rPr>
          <w:rFonts w:cs="Times New Roman"/>
        </w:rPr>
      </w:pPr>
      <w:r>
        <w:rPr>
          <w:rFonts w:cs="Times New Roman"/>
        </w:rPr>
        <w:t>工频电场、工频磁场。</w:t>
      </w:r>
    </w:p>
    <w:p>
      <w:pPr>
        <w:keepLines/>
        <w:numPr>
          <w:ilvl w:val="1"/>
          <w:numId w:val="0"/>
        </w:numPr>
        <w:spacing w:line="360" w:lineRule="auto"/>
        <w:outlineLvl w:val="2"/>
        <w:rPr>
          <w:rFonts w:cs="Times New Roman"/>
          <w:szCs w:val="21"/>
        </w:rPr>
      </w:pPr>
      <w:r>
        <w:rPr>
          <w:rFonts w:eastAsia="黑体" w:cs="Times New Roman"/>
          <w:szCs w:val="32"/>
        </w:rPr>
        <w:t>4.2  监测点位及布点方法</w:t>
      </w:r>
    </w:p>
    <w:p>
      <w:pPr>
        <w:spacing w:line="360" w:lineRule="auto"/>
        <w:ind w:firstLine="420" w:firstLineChars="200"/>
        <w:contextualSpacing/>
        <w:rPr>
          <w:rFonts w:cs="Times New Roman"/>
          <w:szCs w:val="21"/>
        </w:rPr>
      </w:pPr>
      <w:r>
        <w:rPr>
          <w:rFonts w:cs="Times New Roman"/>
          <w:szCs w:val="21"/>
        </w:rPr>
        <w:t>（</w:t>
      </w:r>
      <w:r>
        <w:rPr>
          <w:rFonts w:hint="eastAsia" w:cs="Times New Roman"/>
          <w:szCs w:val="21"/>
        </w:rPr>
        <w:t>1</w:t>
      </w:r>
      <w:r>
        <w:rPr>
          <w:rFonts w:cs="Times New Roman"/>
          <w:szCs w:val="21"/>
        </w:rPr>
        <w:t>）输电线路</w:t>
      </w:r>
    </w:p>
    <w:p>
      <w:pPr>
        <w:spacing w:line="360" w:lineRule="auto"/>
        <w:ind w:firstLine="420" w:firstLineChars="200"/>
        <w:contextualSpacing/>
        <w:rPr>
          <w:rFonts w:cs="Times New Roman"/>
          <w:szCs w:val="21"/>
        </w:rPr>
      </w:pPr>
      <w:r>
        <w:rPr>
          <w:rFonts w:cs="Times New Roman"/>
          <w:szCs w:val="21"/>
        </w:rPr>
        <w:t>本</w:t>
      </w:r>
      <w:r>
        <w:rPr>
          <w:rFonts w:hint="eastAsia" w:cs="Times New Roman"/>
          <w:szCs w:val="21"/>
        </w:rPr>
        <w:t>项目拟建</w:t>
      </w:r>
      <w:r>
        <w:rPr>
          <w:rFonts w:cs="Times New Roman"/>
          <w:szCs w:val="21"/>
        </w:rPr>
        <w:t>线路电磁环境监测点位选择在</w:t>
      </w:r>
      <w:r>
        <w:rPr>
          <w:rFonts w:hint="eastAsia" w:cs="Times New Roman"/>
          <w:szCs w:val="21"/>
        </w:rPr>
        <w:t>拟建110kV双回架空线路</w:t>
      </w:r>
      <w:r>
        <w:rPr>
          <w:rFonts w:cs="Times New Roman"/>
          <w:szCs w:val="21"/>
        </w:rPr>
        <w:t>路</w:t>
      </w:r>
      <w:r>
        <w:rPr>
          <w:rFonts w:hint="eastAsia" w:cs="Times New Roman"/>
          <w:szCs w:val="21"/>
        </w:rPr>
        <w:t>下方</w:t>
      </w:r>
      <w:r>
        <w:rPr>
          <w:rFonts w:cs="Times New Roman"/>
          <w:szCs w:val="21"/>
        </w:rPr>
        <w:t>。</w:t>
      </w:r>
    </w:p>
    <w:p>
      <w:pPr>
        <w:spacing w:line="360" w:lineRule="auto"/>
        <w:ind w:firstLine="420" w:firstLineChars="200"/>
        <w:contextualSpacing/>
        <w:rPr>
          <w:rFonts w:cs="Times New Roman"/>
          <w:szCs w:val="21"/>
        </w:rPr>
      </w:pPr>
      <w:r>
        <w:rPr>
          <w:rFonts w:cs="Times New Roman"/>
          <w:szCs w:val="21"/>
        </w:rPr>
        <w:t>（</w:t>
      </w:r>
      <w:r>
        <w:rPr>
          <w:rFonts w:hint="eastAsia" w:cs="Times New Roman"/>
          <w:szCs w:val="21"/>
        </w:rPr>
        <w:t>2</w:t>
      </w:r>
      <w:r>
        <w:rPr>
          <w:rFonts w:cs="Times New Roman"/>
          <w:szCs w:val="21"/>
        </w:rPr>
        <w:t>）电磁环境敏感目标</w:t>
      </w:r>
    </w:p>
    <w:p>
      <w:pPr>
        <w:spacing w:line="360" w:lineRule="auto"/>
        <w:ind w:firstLine="420" w:firstLineChars="200"/>
        <w:contextualSpacing/>
        <w:rPr>
          <w:rFonts w:cs="Times New Roman"/>
          <w:szCs w:val="21"/>
        </w:rPr>
      </w:pPr>
      <w:r>
        <w:rPr>
          <w:rFonts w:cs="Times New Roman"/>
          <w:szCs w:val="21"/>
        </w:rPr>
        <w:t>本</w:t>
      </w:r>
      <w:r>
        <w:rPr>
          <w:rFonts w:hint="eastAsia" w:cs="Times New Roman"/>
          <w:szCs w:val="21"/>
        </w:rPr>
        <w:t>项目</w:t>
      </w:r>
      <w:r>
        <w:rPr>
          <w:rFonts w:cs="Times New Roman"/>
          <w:szCs w:val="21"/>
        </w:rPr>
        <w:t>电磁环境敏感目标旁距</w:t>
      </w:r>
      <w:r>
        <w:rPr>
          <w:rFonts w:hint="eastAsia" w:cs="Times New Roman"/>
          <w:szCs w:val="21"/>
        </w:rPr>
        <w:t>拟建架空</w:t>
      </w:r>
      <w:r>
        <w:rPr>
          <w:rFonts w:cs="Times New Roman"/>
          <w:szCs w:val="21"/>
        </w:rPr>
        <w:t>线路最近处。</w:t>
      </w:r>
    </w:p>
    <w:p>
      <w:pPr>
        <w:keepLines/>
        <w:numPr>
          <w:ilvl w:val="1"/>
          <w:numId w:val="0"/>
        </w:numPr>
        <w:spacing w:line="360" w:lineRule="auto"/>
        <w:outlineLvl w:val="2"/>
        <w:rPr>
          <w:rFonts w:eastAsia="黑体" w:cs="Times New Roman"/>
          <w:szCs w:val="32"/>
        </w:rPr>
      </w:pPr>
      <w:r>
        <w:rPr>
          <w:rFonts w:eastAsia="黑体" w:cs="Times New Roman"/>
          <w:szCs w:val="32"/>
        </w:rPr>
        <w:t>4.3  监测频次</w:t>
      </w:r>
    </w:p>
    <w:p>
      <w:pPr>
        <w:spacing w:line="360" w:lineRule="auto"/>
        <w:ind w:firstLine="420" w:firstLineChars="200"/>
        <w:contextualSpacing/>
        <w:rPr>
          <w:rFonts w:cs="Times New Roman"/>
          <w:szCs w:val="21"/>
        </w:rPr>
      </w:pPr>
      <w:r>
        <w:rPr>
          <w:rFonts w:cs="Times New Roman"/>
          <w:szCs w:val="21"/>
        </w:rPr>
        <w:t>各监测点位监测一次。</w:t>
      </w:r>
    </w:p>
    <w:p>
      <w:pPr>
        <w:keepLines/>
        <w:numPr>
          <w:ilvl w:val="1"/>
          <w:numId w:val="0"/>
        </w:numPr>
        <w:spacing w:line="360" w:lineRule="auto"/>
        <w:outlineLvl w:val="2"/>
        <w:rPr>
          <w:rFonts w:eastAsia="黑体" w:cs="Times New Roman"/>
          <w:szCs w:val="32"/>
        </w:rPr>
      </w:pPr>
      <w:r>
        <w:rPr>
          <w:rFonts w:eastAsia="黑体" w:cs="Times New Roman"/>
          <w:szCs w:val="32"/>
        </w:rPr>
        <w:t>4.4  监测方法及仪器</w:t>
      </w:r>
    </w:p>
    <w:p>
      <w:pPr>
        <w:spacing w:line="360" w:lineRule="auto"/>
        <w:ind w:firstLine="420" w:firstLineChars="200"/>
        <w:rPr>
          <w:rFonts w:cs="Times New Roman"/>
          <w:szCs w:val="21"/>
        </w:rPr>
      </w:pPr>
      <w:r>
        <w:rPr>
          <w:rFonts w:cs="Times New Roman"/>
          <w:szCs w:val="21"/>
        </w:rPr>
        <w:t>（1）监测方法</w:t>
      </w:r>
    </w:p>
    <w:p>
      <w:pPr>
        <w:spacing w:line="360" w:lineRule="auto"/>
        <w:ind w:firstLine="420" w:firstLineChars="200"/>
        <w:rPr>
          <w:rFonts w:cs="Times New Roman"/>
          <w:szCs w:val="21"/>
        </w:rPr>
      </w:pPr>
      <w:r>
        <w:rPr>
          <w:rFonts w:cs="Times New Roman"/>
          <w:szCs w:val="21"/>
        </w:rPr>
        <w:t>《交流输变电工程电磁环境监测方法（试行）》（HJ 681-2013）。</w:t>
      </w:r>
    </w:p>
    <w:p>
      <w:pPr>
        <w:spacing w:line="360" w:lineRule="auto"/>
        <w:ind w:firstLine="420" w:firstLineChars="200"/>
        <w:rPr>
          <w:rFonts w:cs="Times New Roman"/>
          <w:szCs w:val="21"/>
        </w:rPr>
      </w:pPr>
      <w:r>
        <w:rPr>
          <w:rFonts w:cs="Times New Roman"/>
          <w:szCs w:val="21"/>
        </w:rPr>
        <w:t>（2）监测仪器</w:t>
      </w:r>
    </w:p>
    <w:p>
      <w:pPr>
        <w:spacing w:line="360" w:lineRule="auto"/>
        <w:ind w:firstLine="420" w:firstLineChars="200"/>
        <w:contextualSpacing/>
        <w:rPr>
          <w:rFonts w:cs="Times New Roman"/>
          <w:szCs w:val="21"/>
        </w:rPr>
      </w:pPr>
      <w:r>
        <w:rPr>
          <w:rFonts w:cs="Times New Roman"/>
          <w:szCs w:val="21"/>
        </w:rPr>
        <w:t>监测仪器及指标见表4-1。</w:t>
      </w:r>
    </w:p>
    <w:p>
      <w:pPr>
        <w:pStyle w:val="53"/>
        <w:rPr>
          <w:szCs w:val="18"/>
        </w:rPr>
      </w:pPr>
      <w:r>
        <w:rPr>
          <w:szCs w:val="18"/>
        </w:rPr>
        <w:t>工频场强监测仪器</w:t>
      </w:r>
    </w:p>
    <w:p>
      <w:pPr>
        <w:pStyle w:val="12"/>
        <w:rPr>
          <w:rFonts w:cs="Times New Roman"/>
          <w:szCs w:val="18"/>
        </w:rPr>
      </w:pPr>
      <w:r>
        <w:rPr>
          <w:rFonts w:cs="Times New Roman"/>
          <w:szCs w:val="18"/>
        </w:rPr>
        <w:t>表4-1</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5"/>
        <w:gridCol w:w="2712"/>
        <w:gridCol w:w="2470"/>
        <w:gridCol w:w="3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93" w:type="pct"/>
            <w:vAlign w:val="center"/>
          </w:tcPr>
          <w:p>
            <w:pPr>
              <w:jc w:val="center"/>
              <w:rPr>
                <w:rFonts w:cs="Times New Roman"/>
                <w:sz w:val="18"/>
                <w:szCs w:val="18"/>
              </w:rPr>
            </w:pPr>
            <w:r>
              <w:rPr>
                <w:rFonts w:cs="Times New Roman"/>
                <w:sz w:val="18"/>
                <w:szCs w:val="18"/>
              </w:rPr>
              <w:t>项目</w:t>
            </w:r>
          </w:p>
        </w:tc>
        <w:tc>
          <w:tcPr>
            <w:tcW w:w="1460" w:type="pct"/>
            <w:vAlign w:val="center"/>
          </w:tcPr>
          <w:p>
            <w:pPr>
              <w:jc w:val="center"/>
              <w:rPr>
                <w:rFonts w:cs="Times New Roman"/>
                <w:sz w:val="18"/>
                <w:szCs w:val="18"/>
              </w:rPr>
            </w:pPr>
            <w:r>
              <w:rPr>
                <w:rFonts w:cs="Times New Roman"/>
                <w:sz w:val="18"/>
                <w:szCs w:val="18"/>
              </w:rPr>
              <w:t>仪器名称及编号</w:t>
            </w:r>
          </w:p>
        </w:tc>
        <w:tc>
          <w:tcPr>
            <w:tcW w:w="1330" w:type="pct"/>
            <w:vAlign w:val="center"/>
          </w:tcPr>
          <w:p>
            <w:pPr>
              <w:jc w:val="center"/>
              <w:rPr>
                <w:rFonts w:cs="Times New Roman"/>
                <w:sz w:val="18"/>
                <w:szCs w:val="18"/>
              </w:rPr>
            </w:pPr>
            <w:r>
              <w:rPr>
                <w:rFonts w:cs="Times New Roman"/>
                <w:sz w:val="18"/>
                <w:szCs w:val="18"/>
              </w:rPr>
              <w:t>技术指标</w:t>
            </w:r>
          </w:p>
        </w:tc>
        <w:tc>
          <w:tcPr>
            <w:tcW w:w="1717" w:type="pct"/>
            <w:vAlign w:val="center"/>
          </w:tcPr>
          <w:p>
            <w:pPr>
              <w:jc w:val="center"/>
              <w:rPr>
                <w:rFonts w:cs="Times New Roman"/>
                <w:sz w:val="18"/>
                <w:szCs w:val="18"/>
              </w:rPr>
            </w:pPr>
            <w:r>
              <w:rPr>
                <w:rFonts w:cs="Times New Roman"/>
                <w:sz w:val="18"/>
                <w:szCs w:val="18"/>
              </w:rPr>
              <w:t>测试（校准）证书编号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93" w:type="pct"/>
            <w:vAlign w:val="center"/>
          </w:tcPr>
          <w:p>
            <w:pPr>
              <w:jc w:val="center"/>
              <w:rPr>
                <w:rFonts w:cs="Times New Roman"/>
                <w:sz w:val="18"/>
                <w:szCs w:val="18"/>
              </w:rPr>
            </w:pPr>
            <w:r>
              <w:rPr>
                <w:rFonts w:cs="Times New Roman"/>
                <w:sz w:val="18"/>
                <w:szCs w:val="18"/>
              </w:rPr>
              <w:t>工频电场、工频磁场</w:t>
            </w:r>
          </w:p>
        </w:tc>
        <w:tc>
          <w:tcPr>
            <w:tcW w:w="1460" w:type="pct"/>
            <w:vAlign w:val="center"/>
          </w:tcPr>
          <w:p>
            <w:pPr>
              <w:jc w:val="center"/>
              <w:rPr>
                <w:rFonts w:cs="Times New Roman"/>
                <w:sz w:val="18"/>
                <w:szCs w:val="18"/>
              </w:rPr>
            </w:pPr>
            <w:r>
              <w:rPr>
                <w:rFonts w:hint="eastAsia" w:cs="Times New Roman"/>
                <w:sz w:val="18"/>
                <w:szCs w:val="18"/>
              </w:rPr>
              <w:t>仪器名称：场强仪/电磁场探头</w:t>
            </w:r>
          </w:p>
          <w:p>
            <w:pPr>
              <w:jc w:val="center"/>
              <w:rPr>
                <w:rFonts w:cs="Times New Roman"/>
                <w:sz w:val="18"/>
                <w:szCs w:val="18"/>
              </w:rPr>
            </w:pPr>
            <w:r>
              <w:rPr>
                <w:rFonts w:hint="eastAsia" w:cs="Times New Roman"/>
                <w:sz w:val="18"/>
                <w:szCs w:val="18"/>
              </w:rPr>
              <w:t>生产厂家：Narda</w:t>
            </w:r>
          </w:p>
          <w:p>
            <w:pPr>
              <w:jc w:val="center"/>
              <w:rPr>
                <w:rFonts w:cs="Times New Roman"/>
                <w:sz w:val="18"/>
                <w:szCs w:val="18"/>
              </w:rPr>
            </w:pPr>
            <w:r>
              <w:rPr>
                <w:rFonts w:hint="eastAsia" w:cs="Times New Roman"/>
                <w:sz w:val="18"/>
                <w:szCs w:val="18"/>
              </w:rPr>
              <w:t>型号/规格：NBM-550/EHP-50F</w:t>
            </w:r>
          </w:p>
          <w:p>
            <w:pPr>
              <w:jc w:val="center"/>
              <w:rPr>
                <w:rFonts w:cs="Times New Roman"/>
                <w:sz w:val="18"/>
                <w:szCs w:val="18"/>
              </w:rPr>
            </w:pPr>
            <w:r>
              <w:rPr>
                <w:rFonts w:hint="eastAsia" w:cs="Times New Roman"/>
                <w:sz w:val="18"/>
                <w:szCs w:val="18"/>
              </w:rPr>
              <w:t>出厂编号：G-0274/000WX50923</w:t>
            </w:r>
          </w:p>
        </w:tc>
        <w:tc>
          <w:tcPr>
            <w:tcW w:w="1330" w:type="pct"/>
            <w:vAlign w:val="center"/>
          </w:tcPr>
          <w:p>
            <w:pPr>
              <w:jc w:val="center"/>
              <w:rPr>
                <w:rFonts w:cs="Times New Roman"/>
                <w:sz w:val="18"/>
                <w:szCs w:val="18"/>
              </w:rPr>
            </w:pPr>
            <w:r>
              <w:rPr>
                <w:rFonts w:hint="eastAsia" w:cs="Times New Roman"/>
                <w:sz w:val="18"/>
                <w:szCs w:val="18"/>
              </w:rPr>
              <w:t>测量频率范围</w:t>
            </w:r>
            <w:r>
              <w:rPr>
                <w:rFonts w:hint="eastAsia" w:cs="Times New Roman"/>
                <w:sz w:val="18"/>
                <w:szCs w:val="18"/>
              </w:rPr>
              <w:tab/>
            </w:r>
            <w:r>
              <w:rPr>
                <w:rFonts w:hint="eastAsia" w:cs="Times New Roman"/>
                <w:sz w:val="18"/>
                <w:szCs w:val="18"/>
              </w:rPr>
              <w:t>1Hz-400kHz</w:t>
            </w:r>
          </w:p>
          <w:p>
            <w:pPr>
              <w:jc w:val="center"/>
              <w:rPr>
                <w:rFonts w:cs="Times New Roman"/>
                <w:sz w:val="18"/>
                <w:szCs w:val="18"/>
              </w:rPr>
            </w:pPr>
            <w:r>
              <w:rPr>
                <w:rFonts w:hint="eastAsia" w:cs="Times New Roman"/>
                <w:sz w:val="18"/>
                <w:szCs w:val="18"/>
              </w:rPr>
              <w:t>量程</w:t>
            </w:r>
            <w:r>
              <w:rPr>
                <w:rFonts w:hint="eastAsia" w:cs="Times New Roman"/>
                <w:sz w:val="18"/>
                <w:szCs w:val="18"/>
              </w:rPr>
              <w:tab/>
            </w:r>
            <w:r>
              <w:rPr>
                <w:rFonts w:hint="eastAsia" w:cs="Times New Roman"/>
                <w:sz w:val="18"/>
                <w:szCs w:val="18"/>
              </w:rPr>
              <w:t>工频电场：5mV/m~100kV/m；</w:t>
            </w:r>
          </w:p>
          <w:p>
            <w:pPr>
              <w:jc w:val="center"/>
              <w:rPr>
                <w:rFonts w:cs="Times New Roman"/>
                <w:sz w:val="18"/>
                <w:szCs w:val="18"/>
              </w:rPr>
            </w:pPr>
            <w:r>
              <w:rPr>
                <w:rFonts w:hint="eastAsia" w:cs="Times New Roman"/>
                <w:sz w:val="18"/>
                <w:szCs w:val="18"/>
              </w:rPr>
              <w:t>工频磁场：0.3nT~10mT</w:t>
            </w:r>
          </w:p>
        </w:tc>
        <w:tc>
          <w:tcPr>
            <w:tcW w:w="1717" w:type="pct"/>
            <w:vAlign w:val="center"/>
          </w:tcPr>
          <w:p>
            <w:pPr>
              <w:jc w:val="center"/>
              <w:rPr>
                <w:rFonts w:cs="Times New Roman"/>
                <w:sz w:val="18"/>
                <w:szCs w:val="18"/>
              </w:rPr>
            </w:pPr>
            <w:r>
              <w:rPr>
                <w:rFonts w:hint="eastAsia" w:cs="Times New Roman"/>
                <w:sz w:val="18"/>
                <w:szCs w:val="18"/>
              </w:rPr>
              <w:t>校准单位：上海市计量测试技术研究院（华东国家计量测试中心）</w:t>
            </w:r>
          </w:p>
          <w:p>
            <w:pPr>
              <w:jc w:val="center"/>
              <w:rPr>
                <w:rFonts w:cs="Times New Roman"/>
                <w:sz w:val="18"/>
                <w:szCs w:val="18"/>
              </w:rPr>
            </w:pPr>
            <w:r>
              <w:rPr>
                <w:rFonts w:hint="eastAsia" w:cs="Times New Roman"/>
                <w:sz w:val="18"/>
                <w:szCs w:val="18"/>
              </w:rPr>
              <w:t>校准有效期：2023年05月22日~2024年05月21日</w:t>
            </w:r>
          </w:p>
          <w:p>
            <w:pPr>
              <w:jc w:val="center"/>
              <w:rPr>
                <w:rFonts w:cs="Times New Roman"/>
                <w:sz w:val="18"/>
                <w:szCs w:val="18"/>
              </w:rPr>
            </w:pPr>
            <w:r>
              <w:rPr>
                <w:rFonts w:hint="eastAsia" w:cs="Times New Roman"/>
                <w:sz w:val="18"/>
                <w:szCs w:val="18"/>
              </w:rPr>
              <w:t>证书编号：2023F33-10-4577579002</w:t>
            </w:r>
          </w:p>
        </w:tc>
      </w:tr>
    </w:tbl>
    <w:p>
      <w:pPr>
        <w:keepLines/>
        <w:numPr>
          <w:ilvl w:val="1"/>
          <w:numId w:val="0"/>
        </w:numPr>
        <w:spacing w:line="360" w:lineRule="auto"/>
        <w:outlineLvl w:val="2"/>
        <w:rPr>
          <w:rFonts w:eastAsia="黑体" w:cs="Times New Roman"/>
          <w:szCs w:val="32"/>
        </w:rPr>
      </w:pPr>
      <w:r>
        <w:rPr>
          <w:rFonts w:eastAsia="黑体" w:cs="Times New Roman"/>
          <w:szCs w:val="32"/>
        </w:rPr>
        <w:t>4.5  监测日期及环境条件</w:t>
      </w:r>
    </w:p>
    <w:p>
      <w:pPr>
        <w:ind w:firstLine="420"/>
        <w:rPr>
          <w:rFonts w:cs="Times New Roman"/>
          <w:snapToGrid w:val="0"/>
        </w:rPr>
      </w:pPr>
      <w:r>
        <w:rPr>
          <w:rFonts w:cs="Times New Roman"/>
          <w:snapToGrid w:val="0"/>
        </w:rPr>
        <w:t>监测日期及环境条件见表4-2。</w:t>
      </w:r>
    </w:p>
    <w:p>
      <w:pPr>
        <w:pStyle w:val="53"/>
        <w:rPr>
          <w:szCs w:val="18"/>
        </w:rPr>
      </w:pPr>
      <w:r>
        <w:rPr>
          <w:szCs w:val="18"/>
        </w:rPr>
        <w:t>监测条件一览表</w:t>
      </w:r>
    </w:p>
    <w:p>
      <w:pPr>
        <w:pStyle w:val="12"/>
        <w:rPr>
          <w:rFonts w:eastAsia="宋体" w:cs="Times New Roman"/>
          <w:szCs w:val="18"/>
        </w:rPr>
      </w:pPr>
      <w:r>
        <w:rPr>
          <w:rFonts w:eastAsia="宋体" w:cs="Times New Roman"/>
          <w:szCs w:val="18"/>
        </w:rPr>
        <w:t>表4-2</w:t>
      </w:r>
    </w:p>
    <w:tbl>
      <w:tblPr>
        <w:tblStyle w:val="49"/>
        <w:tblW w:w="5000" w:type="pct"/>
        <w:tblInd w:w="5" w:type="dxa"/>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2039"/>
        <w:gridCol w:w="1612"/>
        <w:gridCol w:w="1824"/>
        <w:gridCol w:w="1824"/>
        <w:gridCol w:w="1827"/>
      </w:tblGrid>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0" w:hRule="atLeast"/>
        </w:trPr>
        <w:tc>
          <w:tcPr>
            <w:tcW w:w="1117"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监测时间</w:t>
            </w:r>
          </w:p>
        </w:tc>
        <w:tc>
          <w:tcPr>
            <w:tcW w:w="883"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天气</w:t>
            </w:r>
          </w:p>
        </w:tc>
        <w:tc>
          <w:tcPr>
            <w:tcW w:w="999"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环境温度（℃）</w:t>
            </w:r>
          </w:p>
        </w:tc>
        <w:tc>
          <w:tcPr>
            <w:tcW w:w="999"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环境相对湿度（%RH）</w:t>
            </w:r>
          </w:p>
        </w:tc>
        <w:tc>
          <w:tcPr>
            <w:tcW w:w="1001"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风速（m/s）</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PrEx>
        <w:trPr>
          <w:trHeight w:val="20" w:hRule="atLeast"/>
        </w:trPr>
        <w:tc>
          <w:tcPr>
            <w:tcW w:w="1117" w:type="pct"/>
            <w:tcMar>
              <w:left w:w="28" w:type="dxa"/>
              <w:right w:w="28" w:type="dxa"/>
            </w:tcMar>
            <w:vAlign w:val="center"/>
          </w:tcPr>
          <w:p>
            <w:pPr>
              <w:adjustRightInd w:val="0"/>
              <w:snapToGrid w:val="0"/>
              <w:jc w:val="center"/>
              <w:rPr>
                <w:rFonts w:cs="Times New Roman"/>
                <w:sz w:val="18"/>
                <w:szCs w:val="18"/>
              </w:rPr>
            </w:pPr>
            <w:r>
              <w:rPr>
                <w:rFonts w:hint="eastAsia" w:cs="Times New Roman"/>
                <w:sz w:val="18"/>
                <w:szCs w:val="18"/>
              </w:rPr>
              <w:t>2023年6月28日</w:t>
            </w:r>
          </w:p>
        </w:tc>
        <w:tc>
          <w:tcPr>
            <w:tcW w:w="883" w:type="pct"/>
            <w:tcMar>
              <w:left w:w="28" w:type="dxa"/>
              <w:right w:w="28" w:type="dxa"/>
            </w:tcMar>
            <w:vAlign w:val="center"/>
          </w:tcPr>
          <w:p>
            <w:pPr>
              <w:adjustRightInd w:val="0"/>
              <w:snapToGrid w:val="0"/>
              <w:jc w:val="center"/>
              <w:rPr>
                <w:rFonts w:cs="Times New Roman"/>
                <w:sz w:val="18"/>
                <w:szCs w:val="18"/>
              </w:rPr>
            </w:pPr>
            <w:r>
              <w:rPr>
                <w:rFonts w:hint="eastAsia" w:cs="Times New Roman"/>
                <w:sz w:val="18"/>
                <w:szCs w:val="18"/>
              </w:rPr>
              <w:t>晴</w:t>
            </w:r>
          </w:p>
        </w:tc>
        <w:tc>
          <w:tcPr>
            <w:tcW w:w="999"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30-33</w:t>
            </w:r>
          </w:p>
        </w:tc>
        <w:tc>
          <w:tcPr>
            <w:tcW w:w="999"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65-67</w:t>
            </w:r>
          </w:p>
        </w:tc>
        <w:tc>
          <w:tcPr>
            <w:tcW w:w="1001" w:type="pct"/>
            <w:tcMar>
              <w:left w:w="28" w:type="dxa"/>
              <w:right w:w="28" w:type="dxa"/>
            </w:tcMar>
            <w:vAlign w:val="center"/>
          </w:tcPr>
          <w:p>
            <w:pPr>
              <w:adjustRightInd w:val="0"/>
              <w:snapToGrid w:val="0"/>
              <w:jc w:val="center"/>
              <w:rPr>
                <w:rFonts w:cs="Times New Roman"/>
                <w:sz w:val="18"/>
                <w:szCs w:val="18"/>
              </w:rPr>
            </w:pPr>
            <w:r>
              <w:rPr>
                <w:rFonts w:cs="Times New Roman"/>
                <w:sz w:val="18"/>
                <w:szCs w:val="18"/>
              </w:rPr>
              <w:t>0.5-0.8</w:t>
            </w:r>
          </w:p>
        </w:tc>
      </w:tr>
    </w:tbl>
    <w:p>
      <w:pPr>
        <w:keepLines/>
        <w:numPr>
          <w:ilvl w:val="1"/>
          <w:numId w:val="0"/>
        </w:numPr>
        <w:spacing w:line="360" w:lineRule="auto"/>
        <w:outlineLvl w:val="2"/>
        <w:rPr>
          <w:rFonts w:eastAsia="黑体" w:cs="Times New Roman"/>
          <w:szCs w:val="32"/>
        </w:rPr>
      </w:pPr>
      <w:r>
        <w:rPr>
          <w:rFonts w:eastAsia="黑体" w:cs="Times New Roman"/>
          <w:szCs w:val="32"/>
        </w:rPr>
        <w:t>4.6  监测结果</w:t>
      </w:r>
    </w:p>
    <w:p>
      <w:pPr>
        <w:spacing w:line="360" w:lineRule="auto"/>
        <w:ind w:firstLine="420" w:firstLineChars="200"/>
        <w:contextualSpacing/>
        <w:rPr>
          <w:rFonts w:cs="Times New Roman"/>
          <w:szCs w:val="21"/>
        </w:rPr>
      </w:pPr>
      <w:r>
        <w:rPr>
          <w:rFonts w:cs="Times New Roman"/>
          <w:szCs w:val="21"/>
        </w:rPr>
        <w:t>工频电场强度、工频磁感应强度现状监测结果见表4-3。</w:t>
      </w:r>
    </w:p>
    <w:p>
      <w:pPr>
        <w:pStyle w:val="53"/>
        <w:rPr>
          <w:szCs w:val="18"/>
        </w:rPr>
      </w:pPr>
      <w:r>
        <w:rPr>
          <w:szCs w:val="18"/>
        </w:rPr>
        <w:t>工频电场强度、工频磁感应强度监测结果</w:t>
      </w:r>
    </w:p>
    <w:p>
      <w:pPr>
        <w:pStyle w:val="53"/>
        <w:jc w:val="left"/>
        <w:rPr>
          <w:szCs w:val="18"/>
        </w:rPr>
      </w:pPr>
      <w:r>
        <w:rPr>
          <w:szCs w:val="18"/>
        </w:rPr>
        <w:t>表4-3</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6"/>
        <w:gridCol w:w="2164"/>
        <w:gridCol w:w="2164"/>
        <w:gridCol w:w="2128"/>
        <w:gridCol w:w="22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337" w:type="pct"/>
            <w:vAlign w:val="center"/>
          </w:tcPr>
          <w:p>
            <w:pPr>
              <w:jc w:val="center"/>
              <w:rPr>
                <w:rFonts w:cs="Times New Roman"/>
                <w:sz w:val="18"/>
                <w:szCs w:val="18"/>
              </w:rPr>
            </w:pPr>
            <w:r>
              <w:rPr>
                <w:rFonts w:hint="eastAsia" w:cs="Times New Roman"/>
                <w:sz w:val="18"/>
                <w:szCs w:val="18"/>
              </w:rPr>
              <w:t>序号</w:t>
            </w:r>
          </w:p>
        </w:tc>
        <w:tc>
          <w:tcPr>
            <w:tcW w:w="2330" w:type="pct"/>
            <w:gridSpan w:val="2"/>
            <w:vAlign w:val="center"/>
          </w:tcPr>
          <w:p>
            <w:pPr>
              <w:jc w:val="center"/>
              <w:rPr>
                <w:rFonts w:cs="Times New Roman"/>
                <w:sz w:val="18"/>
                <w:szCs w:val="18"/>
              </w:rPr>
            </w:pPr>
            <w:r>
              <w:rPr>
                <w:rFonts w:hint="eastAsia" w:cs="Times New Roman"/>
                <w:sz w:val="18"/>
                <w:szCs w:val="18"/>
              </w:rPr>
              <w:t>监测点位</w:t>
            </w:r>
          </w:p>
        </w:tc>
        <w:tc>
          <w:tcPr>
            <w:tcW w:w="1146" w:type="pct"/>
            <w:vAlign w:val="center"/>
          </w:tcPr>
          <w:p>
            <w:pPr>
              <w:jc w:val="center"/>
              <w:rPr>
                <w:rFonts w:cs="Times New Roman"/>
                <w:sz w:val="18"/>
                <w:szCs w:val="18"/>
              </w:rPr>
            </w:pPr>
            <w:r>
              <w:rPr>
                <w:rFonts w:hint="eastAsia" w:cs="Times New Roman"/>
                <w:sz w:val="18"/>
                <w:szCs w:val="18"/>
              </w:rPr>
              <w:t>工频电场强度（</w:t>
            </w:r>
            <w:r>
              <w:rPr>
                <w:rFonts w:cs="Times New Roman"/>
                <w:sz w:val="18"/>
                <w:szCs w:val="18"/>
              </w:rPr>
              <w:t>V/m</w:t>
            </w:r>
            <w:r>
              <w:rPr>
                <w:rFonts w:hint="eastAsia" w:cs="Times New Roman"/>
                <w:sz w:val="18"/>
                <w:szCs w:val="18"/>
              </w:rPr>
              <w:t>）</w:t>
            </w:r>
          </w:p>
        </w:tc>
        <w:tc>
          <w:tcPr>
            <w:tcW w:w="1187" w:type="pct"/>
            <w:vAlign w:val="center"/>
          </w:tcPr>
          <w:p>
            <w:pPr>
              <w:jc w:val="center"/>
              <w:rPr>
                <w:rFonts w:cs="Times New Roman"/>
                <w:sz w:val="18"/>
                <w:szCs w:val="18"/>
              </w:rPr>
            </w:pPr>
            <w:r>
              <w:rPr>
                <w:rFonts w:hint="eastAsia" w:cs="Times New Roman"/>
                <w:sz w:val="18"/>
                <w:szCs w:val="18"/>
              </w:rPr>
              <w:t>工频磁感应强度（</w:t>
            </w:r>
            <w:r>
              <w:rPr>
                <w:rFonts w:cs="Times New Roman"/>
                <w:sz w:val="18"/>
                <w:szCs w:val="18"/>
              </w:rPr>
              <w:t>μT</w:t>
            </w:r>
            <w:r>
              <w:rPr>
                <w:rFonts w:hint="eastAsia" w:cs="Times New Roman"/>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18"/>
              </w:rPr>
            </w:pPr>
            <w:r>
              <w:rPr>
                <w:rFonts w:cs="Times New Roman"/>
                <w:sz w:val="18"/>
                <w:szCs w:val="21"/>
              </w:rPr>
              <w:t>1</w:t>
            </w:r>
          </w:p>
        </w:tc>
        <w:tc>
          <w:tcPr>
            <w:tcW w:w="2330" w:type="pct"/>
            <w:gridSpan w:val="2"/>
            <w:vAlign w:val="center"/>
          </w:tcPr>
          <w:p>
            <w:pPr>
              <w:jc w:val="center"/>
              <w:rPr>
                <w:rFonts w:cs="Times New Roman"/>
                <w:sz w:val="18"/>
                <w:szCs w:val="18"/>
              </w:rPr>
            </w:pPr>
            <w:r>
              <w:rPr>
                <w:rFonts w:hint="eastAsia" w:cs="Times New Roman"/>
                <w:sz w:val="18"/>
                <w:szCs w:val="21"/>
              </w:rPr>
              <w:t>范家埭3</w:t>
            </w:r>
            <w:r>
              <w:rPr>
                <w:rFonts w:cs="Times New Roman"/>
                <w:sz w:val="18"/>
                <w:szCs w:val="21"/>
              </w:rPr>
              <w:t>0</w:t>
            </w:r>
            <w:r>
              <w:rPr>
                <w:rFonts w:hint="eastAsia" w:cs="Times New Roman"/>
                <w:sz w:val="18"/>
                <w:szCs w:val="21"/>
              </w:rPr>
              <w:t>号民房北侧，拟建线路下方（</w:t>
            </w:r>
            <w:r>
              <w:rPr>
                <w:rFonts w:cs="Times New Roman"/>
                <w:sz w:val="18"/>
                <w:szCs w:val="21"/>
              </w:rPr>
              <w:t>A</w:t>
            </w:r>
            <w:r>
              <w:rPr>
                <w:rFonts w:hint="eastAsia" w:cs="Times New Roman"/>
                <w:sz w:val="18"/>
                <w:szCs w:val="21"/>
              </w:rPr>
              <w:t>测点）</w:t>
            </w:r>
          </w:p>
        </w:tc>
        <w:tc>
          <w:tcPr>
            <w:tcW w:w="1146" w:type="pct"/>
            <w:vAlign w:val="center"/>
          </w:tcPr>
          <w:p>
            <w:pPr>
              <w:jc w:val="center"/>
              <w:rPr>
                <w:rFonts w:cs="Times New Roman"/>
                <w:sz w:val="18"/>
                <w:szCs w:val="18"/>
              </w:rPr>
            </w:pPr>
            <w:r>
              <w:rPr>
                <w:sz w:val="18"/>
                <w:szCs w:val="18"/>
              </w:rPr>
              <w:t>39.43</w:t>
            </w:r>
          </w:p>
        </w:tc>
        <w:tc>
          <w:tcPr>
            <w:tcW w:w="1187" w:type="pct"/>
            <w:vAlign w:val="center"/>
          </w:tcPr>
          <w:p>
            <w:pPr>
              <w:jc w:val="center"/>
              <w:rPr>
                <w:rFonts w:cs="Times New Roman"/>
                <w:sz w:val="18"/>
                <w:szCs w:val="18"/>
              </w:rPr>
            </w:pPr>
            <w:r>
              <w:rPr>
                <w:sz w:val="18"/>
                <w:szCs w:val="18"/>
              </w:rPr>
              <w:t>0.1741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18"/>
              </w:rPr>
            </w:pPr>
            <w:r>
              <w:rPr>
                <w:rFonts w:cs="Times New Roman"/>
                <w:sz w:val="18"/>
                <w:szCs w:val="21"/>
              </w:rPr>
              <w:t>2</w:t>
            </w:r>
          </w:p>
        </w:tc>
        <w:tc>
          <w:tcPr>
            <w:tcW w:w="2330" w:type="pct"/>
            <w:gridSpan w:val="2"/>
            <w:vAlign w:val="center"/>
          </w:tcPr>
          <w:p>
            <w:pPr>
              <w:jc w:val="center"/>
              <w:rPr>
                <w:rFonts w:cs="Times New Roman"/>
                <w:sz w:val="18"/>
                <w:szCs w:val="18"/>
              </w:rPr>
            </w:pPr>
            <w:r>
              <w:rPr>
                <w:rFonts w:hint="eastAsia" w:cs="Times New Roman"/>
                <w:sz w:val="18"/>
                <w:szCs w:val="21"/>
              </w:rPr>
              <w:t>范家埭</w:t>
            </w:r>
            <w:r>
              <w:rPr>
                <w:rFonts w:cs="Times New Roman"/>
                <w:sz w:val="18"/>
                <w:szCs w:val="21"/>
              </w:rPr>
              <w:t>15</w:t>
            </w:r>
            <w:r>
              <w:rPr>
                <w:rFonts w:hint="eastAsia" w:cs="Times New Roman"/>
                <w:sz w:val="18"/>
                <w:szCs w:val="21"/>
              </w:rPr>
              <w:t>号民房北侧（</w:t>
            </w:r>
            <w:r>
              <w:rPr>
                <w:rFonts w:cs="Times New Roman"/>
                <w:sz w:val="18"/>
                <w:szCs w:val="21"/>
              </w:rPr>
              <w:t>B</w:t>
            </w:r>
            <w:r>
              <w:rPr>
                <w:rFonts w:hint="eastAsia" w:cs="Times New Roman"/>
                <w:sz w:val="18"/>
                <w:szCs w:val="21"/>
              </w:rPr>
              <w:t>测点）</w:t>
            </w:r>
          </w:p>
        </w:tc>
        <w:tc>
          <w:tcPr>
            <w:tcW w:w="1146" w:type="pct"/>
            <w:vAlign w:val="center"/>
          </w:tcPr>
          <w:p>
            <w:pPr>
              <w:jc w:val="center"/>
              <w:rPr>
                <w:rFonts w:cs="Times New Roman"/>
                <w:sz w:val="18"/>
                <w:szCs w:val="18"/>
              </w:rPr>
            </w:pPr>
            <w:r>
              <w:rPr>
                <w:sz w:val="18"/>
                <w:szCs w:val="18"/>
              </w:rPr>
              <w:t>2.535</w:t>
            </w:r>
          </w:p>
        </w:tc>
        <w:tc>
          <w:tcPr>
            <w:tcW w:w="1187" w:type="pct"/>
            <w:vAlign w:val="center"/>
          </w:tcPr>
          <w:p>
            <w:pPr>
              <w:jc w:val="center"/>
              <w:rPr>
                <w:rFonts w:cs="Times New Roman"/>
                <w:sz w:val="18"/>
                <w:szCs w:val="18"/>
              </w:rPr>
            </w:pPr>
            <w:r>
              <w:rPr>
                <w:sz w:val="18"/>
                <w:szCs w:val="18"/>
              </w:rPr>
              <w:t>0.1809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18"/>
              </w:rPr>
            </w:pPr>
            <w:r>
              <w:rPr>
                <w:rFonts w:cs="Times New Roman"/>
                <w:sz w:val="18"/>
                <w:szCs w:val="21"/>
              </w:rPr>
              <w:t>3</w:t>
            </w:r>
          </w:p>
        </w:tc>
        <w:tc>
          <w:tcPr>
            <w:tcW w:w="2330" w:type="pct"/>
            <w:gridSpan w:val="2"/>
            <w:vAlign w:val="center"/>
          </w:tcPr>
          <w:p>
            <w:pPr>
              <w:jc w:val="center"/>
              <w:rPr>
                <w:sz w:val="18"/>
                <w:szCs w:val="18"/>
              </w:rPr>
            </w:pPr>
            <w:r>
              <w:rPr>
                <w:rFonts w:hint="eastAsia" w:cs="Times New Roman"/>
                <w:sz w:val="18"/>
                <w:szCs w:val="21"/>
              </w:rPr>
              <w:t>范家埭</w:t>
            </w:r>
            <w:r>
              <w:rPr>
                <w:rFonts w:cs="Times New Roman"/>
                <w:sz w:val="18"/>
                <w:szCs w:val="21"/>
              </w:rPr>
              <w:t>39</w:t>
            </w:r>
            <w:r>
              <w:rPr>
                <w:rFonts w:hint="eastAsia" w:cs="Times New Roman"/>
                <w:sz w:val="18"/>
                <w:szCs w:val="21"/>
              </w:rPr>
              <w:t>号民房西南侧（</w:t>
            </w:r>
            <w:r>
              <w:rPr>
                <w:rFonts w:cs="Times New Roman"/>
                <w:sz w:val="18"/>
                <w:szCs w:val="21"/>
              </w:rPr>
              <w:t>C</w:t>
            </w:r>
            <w:r>
              <w:rPr>
                <w:rFonts w:hint="eastAsia" w:cs="Times New Roman"/>
                <w:sz w:val="18"/>
                <w:szCs w:val="21"/>
              </w:rPr>
              <w:t>测点）</w:t>
            </w:r>
          </w:p>
        </w:tc>
        <w:tc>
          <w:tcPr>
            <w:tcW w:w="1146" w:type="pct"/>
            <w:vAlign w:val="center"/>
          </w:tcPr>
          <w:p>
            <w:pPr>
              <w:jc w:val="center"/>
              <w:rPr>
                <w:sz w:val="18"/>
                <w:szCs w:val="18"/>
              </w:rPr>
            </w:pPr>
            <w:r>
              <w:rPr>
                <w:rFonts w:hint="eastAsia"/>
                <w:sz w:val="18"/>
                <w:szCs w:val="18"/>
              </w:rPr>
              <w:t>2</w:t>
            </w:r>
            <w:r>
              <w:rPr>
                <w:sz w:val="18"/>
                <w:szCs w:val="18"/>
              </w:rPr>
              <w:t>.693</w:t>
            </w:r>
          </w:p>
        </w:tc>
        <w:tc>
          <w:tcPr>
            <w:tcW w:w="1187" w:type="pct"/>
            <w:vAlign w:val="center"/>
          </w:tcPr>
          <w:p>
            <w:pPr>
              <w:jc w:val="center"/>
              <w:rPr>
                <w:sz w:val="18"/>
                <w:szCs w:val="18"/>
              </w:rPr>
            </w:pPr>
            <w:r>
              <w:rPr>
                <w:rFonts w:hint="eastAsia"/>
                <w:sz w:val="18"/>
                <w:szCs w:val="18"/>
              </w:rPr>
              <w:t>0</w:t>
            </w:r>
            <w:r>
              <w:rPr>
                <w:sz w:val="18"/>
                <w:szCs w:val="18"/>
              </w:rPr>
              <w:t>.1765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4</w:t>
            </w:r>
          </w:p>
        </w:tc>
        <w:tc>
          <w:tcPr>
            <w:tcW w:w="1165" w:type="pct"/>
            <w:vMerge w:val="restart"/>
            <w:vAlign w:val="center"/>
          </w:tcPr>
          <w:p>
            <w:pPr>
              <w:jc w:val="center"/>
              <w:rPr>
                <w:rFonts w:cs="Times New Roman"/>
                <w:sz w:val="18"/>
                <w:szCs w:val="21"/>
              </w:rPr>
            </w:pPr>
            <w:r>
              <w:rPr>
                <w:rFonts w:cs="Times New Roman"/>
                <w:sz w:val="18"/>
                <w:szCs w:val="21"/>
              </w:rPr>
              <w:t>110kV</w:t>
            </w:r>
            <w:r>
              <w:rPr>
                <w:rFonts w:hint="eastAsia" w:cs="Times New Roman"/>
                <w:sz w:val="18"/>
                <w:szCs w:val="21"/>
              </w:rPr>
              <w:t>民盐</w:t>
            </w:r>
            <w:r>
              <w:rPr>
                <w:rFonts w:cs="Times New Roman"/>
                <w:sz w:val="18"/>
                <w:szCs w:val="21"/>
              </w:rPr>
              <w:t>1292</w:t>
            </w:r>
            <w:r>
              <w:rPr>
                <w:rFonts w:hint="eastAsia" w:cs="Times New Roman"/>
                <w:sz w:val="18"/>
                <w:szCs w:val="21"/>
              </w:rPr>
              <w:t>线新建</w:t>
            </w:r>
            <w:r>
              <w:rPr>
                <w:rFonts w:cs="Times New Roman"/>
                <w:sz w:val="18"/>
                <w:szCs w:val="21"/>
              </w:rPr>
              <w:t>1#~</w:t>
            </w:r>
            <w:r>
              <w:rPr>
                <w:rFonts w:hint="eastAsia" w:cs="Times New Roman"/>
                <w:sz w:val="18"/>
                <w:szCs w:val="21"/>
              </w:rPr>
              <w:t>新建</w:t>
            </w:r>
            <w:r>
              <w:rPr>
                <w:rFonts w:cs="Times New Roman"/>
                <w:sz w:val="18"/>
                <w:szCs w:val="21"/>
              </w:rPr>
              <w:t>#4</w:t>
            </w:r>
            <w:r>
              <w:rPr>
                <w:rFonts w:hint="eastAsia" w:cs="Times New Roman"/>
                <w:sz w:val="18"/>
                <w:szCs w:val="21"/>
              </w:rPr>
              <w:t>塔间档距对应两杆塔中央连线对地投影下方（老线路）</w:t>
            </w:r>
          </w:p>
        </w:tc>
        <w:tc>
          <w:tcPr>
            <w:tcW w:w="1165" w:type="pct"/>
            <w:vAlign w:val="center"/>
          </w:tcPr>
          <w:p>
            <w:pPr>
              <w:jc w:val="center"/>
              <w:rPr>
                <w:rFonts w:cs="Times New Roman"/>
                <w:sz w:val="18"/>
                <w:szCs w:val="21"/>
              </w:rPr>
            </w:pPr>
            <w:r>
              <w:rPr>
                <w:rFonts w:cs="Times New Roman"/>
                <w:sz w:val="18"/>
                <w:szCs w:val="21"/>
              </w:rPr>
              <w:t>0m</w:t>
            </w:r>
          </w:p>
        </w:tc>
        <w:tc>
          <w:tcPr>
            <w:tcW w:w="1146" w:type="pct"/>
            <w:vAlign w:val="center"/>
          </w:tcPr>
          <w:p>
            <w:pPr>
              <w:jc w:val="center"/>
              <w:rPr>
                <w:rFonts w:cs="Times New Roman"/>
                <w:sz w:val="18"/>
                <w:szCs w:val="21"/>
              </w:rPr>
            </w:pPr>
            <w:r>
              <w:rPr>
                <w:rFonts w:cs="Times New Roman"/>
                <w:sz w:val="18"/>
                <w:szCs w:val="21"/>
              </w:rPr>
              <w:t>1100</w:t>
            </w:r>
          </w:p>
        </w:tc>
        <w:tc>
          <w:tcPr>
            <w:tcW w:w="1187" w:type="pct"/>
            <w:vAlign w:val="center"/>
          </w:tcPr>
          <w:p>
            <w:pPr>
              <w:jc w:val="center"/>
              <w:rPr>
                <w:rFonts w:cs="Times New Roman"/>
                <w:sz w:val="18"/>
                <w:szCs w:val="21"/>
              </w:rPr>
            </w:pPr>
            <w:r>
              <w:rPr>
                <w:rFonts w:cs="Times New Roman"/>
                <w:sz w:val="18"/>
                <w:szCs w:val="21"/>
              </w:rPr>
              <w:t>0.1730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5</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5m</w:t>
            </w:r>
          </w:p>
        </w:tc>
        <w:tc>
          <w:tcPr>
            <w:tcW w:w="1146" w:type="pct"/>
            <w:vAlign w:val="center"/>
          </w:tcPr>
          <w:p>
            <w:pPr>
              <w:jc w:val="center"/>
              <w:rPr>
                <w:rFonts w:cs="Times New Roman"/>
                <w:sz w:val="18"/>
                <w:szCs w:val="21"/>
              </w:rPr>
            </w:pPr>
            <w:r>
              <w:rPr>
                <w:rFonts w:cs="Times New Roman"/>
                <w:sz w:val="18"/>
                <w:szCs w:val="21"/>
              </w:rPr>
              <w:t>1016</w:t>
            </w:r>
          </w:p>
        </w:tc>
        <w:tc>
          <w:tcPr>
            <w:tcW w:w="1187" w:type="pct"/>
            <w:vAlign w:val="center"/>
          </w:tcPr>
          <w:p>
            <w:pPr>
              <w:jc w:val="center"/>
              <w:rPr>
                <w:rFonts w:cs="Times New Roman"/>
                <w:sz w:val="18"/>
                <w:szCs w:val="21"/>
              </w:rPr>
            </w:pPr>
            <w:r>
              <w:rPr>
                <w:rFonts w:cs="Times New Roman"/>
                <w:sz w:val="18"/>
                <w:szCs w:val="21"/>
              </w:rPr>
              <w:t>0.1861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6</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10m</w:t>
            </w:r>
          </w:p>
        </w:tc>
        <w:tc>
          <w:tcPr>
            <w:tcW w:w="1146" w:type="pct"/>
            <w:vAlign w:val="center"/>
          </w:tcPr>
          <w:p>
            <w:pPr>
              <w:jc w:val="center"/>
              <w:rPr>
                <w:rFonts w:cs="Times New Roman"/>
                <w:sz w:val="18"/>
                <w:szCs w:val="21"/>
              </w:rPr>
            </w:pPr>
            <w:r>
              <w:rPr>
                <w:rFonts w:cs="Times New Roman"/>
                <w:sz w:val="18"/>
                <w:szCs w:val="21"/>
              </w:rPr>
              <w:t>890.9</w:t>
            </w:r>
          </w:p>
        </w:tc>
        <w:tc>
          <w:tcPr>
            <w:tcW w:w="1187" w:type="pct"/>
            <w:vAlign w:val="center"/>
          </w:tcPr>
          <w:p>
            <w:pPr>
              <w:jc w:val="center"/>
              <w:rPr>
                <w:rFonts w:cs="Times New Roman"/>
                <w:sz w:val="18"/>
                <w:szCs w:val="21"/>
              </w:rPr>
            </w:pPr>
            <w:r>
              <w:rPr>
                <w:rFonts w:cs="Times New Roman"/>
                <w:sz w:val="18"/>
                <w:szCs w:val="21"/>
              </w:rPr>
              <w:t>0.1847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7</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15m</w:t>
            </w:r>
          </w:p>
        </w:tc>
        <w:tc>
          <w:tcPr>
            <w:tcW w:w="1146" w:type="pct"/>
            <w:vAlign w:val="center"/>
          </w:tcPr>
          <w:p>
            <w:pPr>
              <w:jc w:val="center"/>
              <w:rPr>
                <w:rFonts w:cs="Times New Roman"/>
                <w:sz w:val="18"/>
                <w:szCs w:val="21"/>
              </w:rPr>
            </w:pPr>
            <w:r>
              <w:rPr>
                <w:rFonts w:cs="Times New Roman"/>
                <w:sz w:val="18"/>
                <w:szCs w:val="21"/>
              </w:rPr>
              <w:t>726.8</w:t>
            </w:r>
          </w:p>
        </w:tc>
        <w:tc>
          <w:tcPr>
            <w:tcW w:w="1187" w:type="pct"/>
            <w:vAlign w:val="center"/>
          </w:tcPr>
          <w:p>
            <w:pPr>
              <w:jc w:val="center"/>
              <w:rPr>
                <w:rFonts w:cs="Times New Roman"/>
                <w:sz w:val="18"/>
                <w:szCs w:val="21"/>
              </w:rPr>
            </w:pPr>
            <w:r>
              <w:rPr>
                <w:rFonts w:cs="Times New Roman"/>
                <w:sz w:val="18"/>
                <w:szCs w:val="21"/>
              </w:rPr>
              <w:t>0.1732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8</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20m</w:t>
            </w:r>
          </w:p>
        </w:tc>
        <w:tc>
          <w:tcPr>
            <w:tcW w:w="1146" w:type="pct"/>
            <w:vAlign w:val="center"/>
          </w:tcPr>
          <w:p>
            <w:pPr>
              <w:jc w:val="center"/>
              <w:rPr>
                <w:rFonts w:cs="Times New Roman"/>
                <w:sz w:val="18"/>
                <w:szCs w:val="21"/>
              </w:rPr>
            </w:pPr>
            <w:r>
              <w:rPr>
                <w:rFonts w:cs="Times New Roman"/>
                <w:sz w:val="18"/>
                <w:szCs w:val="21"/>
              </w:rPr>
              <w:t>314.3</w:t>
            </w:r>
          </w:p>
        </w:tc>
        <w:tc>
          <w:tcPr>
            <w:tcW w:w="1187" w:type="pct"/>
            <w:vAlign w:val="center"/>
          </w:tcPr>
          <w:p>
            <w:pPr>
              <w:jc w:val="center"/>
              <w:rPr>
                <w:rFonts w:cs="Times New Roman"/>
                <w:sz w:val="18"/>
                <w:szCs w:val="21"/>
              </w:rPr>
            </w:pPr>
            <w:r>
              <w:rPr>
                <w:rFonts w:cs="Times New Roman"/>
                <w:sz w:val="18"/>
                <w:szCs w:val="21"/>
              </w:rPr>
              <w:t>0.1699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9</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25m</w:t>
            </w:r>
          </w:p>
        </w:tc>
        <w:tc>
          <w:tcPr>
            <w:tcW w:w="1146" w:type="pct"/>
            <w:vAlign w:val="center"/>
          </w:tcPr>
          <w:p>
            <w:pPr>
              <w:jc w:val="center"/>
              <w:rPr>
                <w:rFonts w:cs="Times New Roman"/>
                <w:sz w:val="18"/>
                <w:szCs w:val="21"/>
              </w:rPr>
            </w:pPr>
            <w:r>
              <w:rPr>
                <w:rFonts w:cs="Times New Roman"/>
                <w:sz w:val="18"/>
                <w:szCs w:val="21"/>
              </w:rPr>
              <w:t>115.9</w:t>
            </w:r>
          </w:p>
        </w:tc>
        <w:tc>
          <w:tcPr>
            <w:tcW w:w="1187" w:type="pct"/>
            <w:vAlign w:val="center"/>
          </w:tcPr>
          <w:p>
            <w:pPr>
              <w:jc w:val="center"/>
              <w:rPr>
                <w:rFonts w:cs="Times New Roman"/>
                <w:sz w:val="18"/>
                <w:szCs w:val="21"/>
              </w:rPr>
            </w:pPr>
            <w:r>
              <w:rPr>
                <w:rFonts w:cs="Times New Roman"/>
                <w:sz w:val="18"/>
                <w:szCs w:val="21"/>
              </w:rPr>
              <w:t>0.1694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10</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30m</w:t>
            </w:r>
          </w:p>
        </w:tc>
        <w:tc>
          <w:tcPr>
            <w:tcW w:w="1146" w:type="pct"/>
            <w:vAlign w:val="center"/>
          </w:tcPr>
          <w:p>
            <w:pPr>
              <w:jc w:val="center"/>
              <w:rPr>
                <w:rFonts w:cs="Times New Roman"/>
                <w:sz w:val="18"/>
                <w:szCs w:val="21"/>
              </w:rPr>
            </w:pPr>
            <w:r>
              <w:rPr>
                <w:rFonts w:cs="Times New Roman"/>
                <w:sz w:val="18"/>
                <w:szCs w:val="21"/>
              </w:rPr>
              <w:t>99.24</w:t>
            </w:r>
          </w:p>
        </w:tc>
        <w:tc>
          <w:tcPr>
            <w:tcW w:w="1187" w:type="pct"/>
            <w:vAlign w:val="center"/>
          </w:tcPr>
          <w:p>
            <w:pPr>
              <w:jc w:val="center"/>
              <w:rPr>
                <w:rFonts w:cs="Times New Roman"/>
                <w:sz w:val="18"/>
                <w:szCs w:val="21"/>
              </w:rPr>
            </w:pPr>
            <w:r>
              <w:rPr>
                <w:rFonts w:cs="Times New Roman"/>
                <w:sz w:val="18"/>
                <w:szCs w:val="21"/>
              </w:rPr>
              <w:t>0.1922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11</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35m</w:t>
            </w:r>
          </w:p>
        </w:tc>
        <w:tc>
          <w:tcPr>
            <w:tcW w:w="1146" w:type="pct"/>
            <w:vAlign w:val="center"/>
          </w:tcPr>
          <w:p>
            <w:pPr>
              <w:jc w:val="center"/>
              <w:rPr>
                <w:rFonts w:cs="Times New Roman"/>
                <w:sz w:val="18"/>
                <w:szCs w:val="21"/>
              </w:rPr>
            </w:pPr>
            <w:r>
              <w:rPr>
                <w:rFonts w:cs="Times New Roman"/>
                <w:sz w:val="18"/>
                <w:szCs w:val="21"/>
              </w:rPr>
              <w:t>96.89</w:t>
            </w:r>
          </w:p>
        </w:tc>
        <w:tc>
          <w:tcPr>
            <w:tcW w:w="1187" w:type="pct"/>
            <w:vAlign w:val="center"/>
          </w:tcPr>
          <w:p>
            <w:pPr>
              <w:jc w:val="center"/>
              <w:rPr>
                <w:rFonts w:cs="Times New Roman"/>
                <w:sz w:val="18"/>
                <w:szCs w:val="21"/>
              </w:rPr>
            </w:pPr>
            <w:r>
              <w:rPr>
                <w:rFonts w:cs="Times New Roman"/>
                <w:sz w:val="18"/>
                <w:szCs w:val="21"/>
              </w:rPr>
              <w:t>0.1714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12</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40m</w:t>
            </w:r>
          </w:p>
        </w:tc>
        <w:tc>
          <w:tcPr>
            <w:tcW w:w="1146" w:type="pct"/>
            <w:vAlign w:val="center"/>
          </w:tcPr>
          <w:p>
            <w:pPr>
              <w:jc w:val="center"/>
              <w:rPr>
                <w:rFonts w:cs="Times New Roman"/>
                <w:sz w:val="18"/>
                <w:szCs w:val="21"/>
              </w:rPr>
            </w:pPr>
            <w:r>
              <w:rPr>
                <w:rFonts w:cs="Times New Roman"/>
                <w:sz w:val="18"/>
                <w:szCs w:val="21"/>
              </w:rPr>
              <w:t>47.44</w:t>
            </w:r>
          </w:p>
        </w:tc>
        <w:tc>
          <w:tcPr>
            <w:tcW w:w="1187" w:type="pct"/>
            <w:vAlign w:val="center"/>
          </w:tcPr>
          <w:p>
            <w:pPr>
              <w:jc w:val="center"/>
              <w:rPr>
                <w:rFonts w:cs="Times New Roman"/>
                <w:sz w:val="18"/>
                <w:szCs w:val="21"/>
              </w:rPr>
            </w:pPr>
            <w:r>
              <w:rPr>
                <w:rFonts w:cs="Times New Roman"/>
                <w:sz w:val="18"/>
                <w:szCs w:val="21"/>
              </w:rPr>
              <w:t>0.1760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13</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45m</w:t>
            </w:r>
          </w:p>
        </w:tc>
        <w:tc>
          <w:tcPr>
            <w:tcW w:w="1146" w:type="pct"/>
            <w:vAlign w:val="center"/>
          </w:tcPr>
          <w:p>
            <w:pPr>
              <w:jc w:val="center"/>
              <w:rPr>
                <w:rFonts w:cs="Times New Roman"/>
                <w:sz w:val="18"/>
                <w:szCs w:val="21"/>
              </w:rPr>
            </w:pPr>
            <w:r>
              <w:rPr>
                <w:rFonts w:cs="Times New Roman"/>
                <w:sz w:val="18"/>
                <w:szCs w:val="21"/>
              </w:rPr>
              <w:t>46.07</w:t>
            </w:r>
          </w:p>
        </w:tc>
        <w:tc>
          <w:tcPr>
            <w:tcW w:w="1187" w:type="pct"/>
            <w:vAlign w:val="center"/>
          </w:tcPr>
          <w:p>
            <w:pPr>
              <w:jc w:val="center"/>
              <w:rPr>
                <w:rFonts w:cs="Times New Roman"/>
                <w:sz w:val="18"/>
                <w:szCs w:val="21"/>
              </w:rPr>
            </w:pPr>
            <w:r>
              <w:rPr>
                <w:rFonts w:cs="Times New Roman"/>
                <w:sz w:val="18"/>
                <w:szCs w:val="21"/>
              </w:rPr>
              <w:t>0.1760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7" w:type="pct"/>
            <w:vAlign w:val="center"/>
          </w:tcPr>
          <w:p>
            <w:pPr>
              <w:jc w:val="center"/>
              <w:rPr>
                <w:rFonts w:cs="Times New Roman"/>
                <w:sz w:val="18"/>
                <w:szCs w:val="21"/>
              </w:rPr>
            </w:pPr>
            <w:r>
              <w:rPr>
                <w:rFonts w:cs="Times New Roman"/>
                <w:sz w:val="18"/>
                <w:szCs w:val="21"/>
              </w:rPr>
              <w:t>14</w:t>
            </w:r>
          </w:p>
        </w:tc>
        <w:tc>
          <w:tcPr>
            <w:tcW w:w="1165" w:type="pct"/>
            <w:vMerge w:val="continue"/>
            <w:vAlign w:val="center"/>
          </w:tcPr>
          <w:p>
            <w:pPr>
              <w:jc w:val="center"/>
              <w:rPr>
                <w:rFonts w:cs="Times New Roman"/>
                <w:sz w:val="18"/>
                <w:szCs w:val="21"/>
              </w:rPr>
            </w:pPr>
          </w:p>
        </w:tc>
        <w:tc>
          <w:tcPr>
            <w:tcW w:w="1165" w:type="pct"/>
            <w:vAlign w:val="center"/>
          </w:tcPr>
          <w:p>
            <w:pPr>
              <w:jc w:val="center"/>
              <w:rPr>
                <w:rFonts w:cs="Times New Roman"/>
                <w:sz w:val="18"/>
                <w:szCs w:val="21"/>
              </w:rPr>
            </w:pPr>
            <w:r>
              <w:rPr>
                <w:rFonts w:cs="Times New Roman"/>
                <w:sz w:val="18"/>
                <w:szCs w:val="21"/>
              </w:rPr>
              <w:t>50m</w:t>
            </w:r>
          </w:p>
        </w:tc>
        <w:tc>
          <w:tcPr>
            <w:tcW w:w="1146" w:type="pct"/>
            <w:vAlign w:val="center"/>
          </w:tcPr>
          <w:p>
            <w:pPr>
              <w:jc w:val="center"/>
              <w:rPr>
                <w:rFonts w:cs="Times New Roman"/>
                <w:sz w:val="18"/>
                <w:szCs w:val="21"/>
              </w:rPr>
            </w:pPr>
            <w:r>
              <w:rPr>
                <w:rFonts w:cs="Times New Roman"/>
                <w:sz w:val="18"/>
                <w:szCs w:val="21"/>
              </w:rPr>
              <w:t>41.22</w:t>
            </w:r>
          </w:p>
        </w:tc>
        <w:tc>
          <w:tcPr>
            <w:tcW w:w="1187" w:type="pct"/>
            <w:vAlign w:val="center"/>
          </w:tcPr>
          <w:p>
            <w:pPr>
              <w:jc w:val="center"/>
              <w:rPr>
                <w:rFonts w:cs="Times New Roman"/>
                <w:sz w:val="18"/>
                <w:szCs w:val="21"/>
              </w:rPr>
            </w:pPr>
            <w:r>
              <w:rPr>
                <w:rFonts w:cs="Times New Roman"/>
                <w:sz w:val="18"/>
                <w:szCs w:val="21"/>
              </w:rPr>
              <w:t>0.1839</w:t>
            </w:r>
          </w:p>
        </w:tc>
      </w:tr>
    </w:tbl>
    <w:p>
      <w:pPr>
        <w:keepLines/>
        <w:numPr>
          <w:ilvl w:val="1"/>
          <w:numId w:val="0"/>
        </w:numPr>
        <w:spacing w:line="360" w:lineRule="auto"/>
        <w:outlineLvl w:val="2"/>
        <w:rPr>
          <w:rFonts w:eastAsia="黑体" w:cs="Times New Roman"/>
          <w:szCs w:val="32"/>
        </w:rPr>
      </w:pPr>
      <w:r>
        <w:rPr>
          <w:rFonts w:eastAsia="黑体" w:cs="Times New Roman"/>
          <w:szCs w:val="32"/>
        </w:rPr>
        <w:t>4.7  评价与结论</w:t>
      </w:r>
    </w:p>
    <w:p>
      <w:pPr>
        <w:spacing w:line="360" w:lineRule="auto"/>
        <w:ind w:firstLine="420" w:firstLineChars="200"/>
        <w:jc w:val="both"/>
        <w:rPr>
          <w:rFonts w:cs="Times New Roman"/>
          <w:szCs w:val="21"/>
        </w:rPr>
      </w:pPr>
      <w:r>
        <w:rPr>
          <w:rFonts w:cs="Times New Roman"/>
          <w:szCs w:val="21"/>
        </w:rPr>
        <w:t>根据电磁环境现状监测结果，本</w:t>
      </w:r>
      <w:r>
        <w:rPr>
          <w:rFonts w:hint="eastAsia" w:cs="Times New Roman"/>
          <w:szCs w:val="21"/>
        </w:rPr>
        <w:t>项目</w:t>
      </w:r>
      <w:r>
        <w:rPr>
          <w:rFonts w:cs="Times New Roman"/>
          <w:szCs w:val="21"/>
        </w:rPr>
        <w:t>所有监测点位工频电场强度监测值在2.535V/m~39.43V/m之间、工频磁感应强度监测值在0.1741μT~0.1809μT之间，分别可满足《电磁环境控制限值》（GB 8702-2014）中工频电场强度4kV/m、工频磁感应强度100µT的公众曝露控制限值要求。</w:t>
      </w:r>
    </w:p>
    <w:p>
      <w:pPr>
        <w:spacing w:line="360" w:lineRule="auto"/>
        <w:ind w:firstLine="420" w:firstLineChars="200"/>
        <w:jc w:val="both"/>
      </w:pPr>
      <w:r>
        <w:rPr>
          <w:rFonts w:hint="eastAsia"/>
        </w:rPr>
        <w:t>老</w:t>
      </w:r>
      <w:r>
        <w:rPr>
          <w:rFonts w:hint="eastAsia" w:cs="Times New Roman"/>
          <w:szCs w:val="21"/>
        </w:rPr>
        <w:t>线路对地投影下方</w:t>
      </w:r>
      <w:r>
        <w:rPr>
          <w:rFonts w:cs="Times New Roman"/>
          <w:szCs w:val="21"/>
        </w:rPr>
        <w:t>0~50m</w:t>
      </w:r>
      <w:r>
        <w:rPr>
          <w:rFonts w:hint="eastAsia" w:cs="Times New Roman"/>
          <w:szCs w:val="21"/>
        </w:rPr>
        <w:t>的工频电场强度监测值在</w:t>
      </w:r>
      <w:r>
        <w:rPr>
          <w:rFonts w:cs="Times New Roman"/>
          <w:szCs w:val="21"/>
        </w:rPr>
        <w:t>41.22V/m~1100V/m</w:t>
      </w:r>
      <w:r>
        <w:rPr>
          <w:rFonts w:hint="eastAsia" w:cs="Times New Roman"/>
          <w:szCs w:val="21"/>
        </w:rPr>
        <w:t>之间、工频磁感应强度监测值在</w:t>
      </w:r>
      <w:r>
        <w:rPr>
          <w:rFonts w:cs="Times New Roman"/>
          <w:szCs w:val="21"/>
        </w:rPr>
        <w:t>0.1694μT~0.1922μT</w:t>
      </w:r>
      <w:r>
        <w:rPr>
          <w:rFonts w:hint="eastAsia" w:cs="Times New Roman"/>
          <w:szCs w:val="21"/>
        </w:rPr>
        <w:t>之间，分别可满足《电磁环境控制限值》（</w:t>
      </w:r>
      <w:r>
        <w:rPr>
          <w:rFonts w:cs="Times New Roman"/>
          <w:szCs w:val="21"/>
        </w:rPr>
        <w:t>GB 8702-2014</w:t>
      </w:r>
      <w:r>
        <w:rPr>
          <w:rFonts w:hint="eastAsia" w:cs="Times New Roman"/>
          <w:szCs w:val="21"/>
        </w:rPr>
        <w:t>）中工频电场强度</w:t>
      </w:r>
      <w:r>
        <w:rPr>
          <w:rFonts w:cs="Times New Roman"/>
          <w:szCs w:val="21"/>
        </w:rPr>
        <w:t>4kV/m</w:t>
      </w:r>
      <w:r>
        <w:rPr>
          <w:rFonts w:hint="eastAsia" w:cs="Times New Roman"/>
          <w:szCs w:val="21"/>
        </w:rPr>
        <w:t>、工频磁感应强度</w:t>
      </w:r>
      <w:r>
        <w:rPr>
          <w:rFonts w:cs="Times New Roman"/>
          <w:szCs w:val="21"/>
        </w:rPr>
        <w:t>100µT</w:t>
      </w:r>
      <w:r>
        <w:rPr>
          <w:rFonts w:hint="eastAsia" w:cs="Times New Roman"/>
          <w:szCs w:val="21"/>
        </w:rPr>
        <w:t>的公众曝露控制限值要求。</w:t>
      </w:r>
    </w:p>
    <w:p>
      <w:pPr>
        <w:keepLines/>
        <w:spacing w:line="360" w:lineRule="auto"/>
        <w:outlineLvl w:val="1"/>
        <w:rPr>
          <w:rFonts w:eastAsia="黑体" w:cs="Times New Roman"/>
          <w:bCs/>
          <w:szCs w:val="32"/>
        </w:rPr>
      </w:pPr>
      <w:r>
        <w:rPr>
          <w:rFonts w:eastAsia="黑体" w:cs="Times New Roman"/>
          <w:bCs/>
          <w:szCs w:val="32"/>
        </w:rPr>
        <w:t>5  电磁环境影响预测与评价</w:t>
      </w:r>
    </w:p>
    <w:p>
      <w:pPr>
        <w:pStyle w:val="32"/>
        <w:keepLines/>
        <w:spacing w:line="360" w:lineRule="auto"/>
        <w:ind w:firstLine="0" w:firstLineChars="0"/>
        <w:outlineLvl w:val="2"/>
        <w:rPr>
          <w:rFonts w:eastAsia="黑体" w:cs="Times New Roman"/>
          <w:szCs w:val="32"/>
        </w:rPr>
      </w:pPr>
      <w:r>
        <w:rPr>
          <w:rFonts w:hint="eastAsia" w:eastAsia="黑体" w:cs="Times New Roman"/>
          <w:szCs w:val="32"/>
        </w:rPr>
        <w:t>5.1</w:t>
      </w:r>
      <w:r>
        <w:rPr>
          <w:rFonts w:eastAsia="黑体" w:cs="Times New Roman"/>
          <w:szCs w:val="32"/>
        </w:rPr>
        <w:t xml:space="preserve"> </w:t>
      </w:r>
      <w:r>
        <w:rPr>
          <w:rFonts w:hint="eastAsia" w:eastAsia="黑体" w:cs="Times New Roman"/>
          <w:szCs w:val="32"/>
        </w:rPr>
        <w:t xml:space="preserve"> </w:t>
      </w:r>
      <w:r>
        <w:rPr>
          <w:rFonts w:eastAsia="黑体" w:cs="Times New Roman"/>
          <w:szCs w:val="32"/>
        </w:rPr>
        <w:t>架空输电线路预测与评价</w:t>
      </w:r>
    </w:p>
    <w:p>
      <w:pPr>
        <w:keepNext/>
        <w:keepLines/>
        <w:spacing w:line="360" w:lineRule="auto"/>
        <w:outlineLvl w:val="3"/>
        <w:rPr>
          <w:rFonts w:eastAsia="黑体" w:cs="Times New Roman"/>
          <w:szCs w:val="28"/>
        </w:rPr>
      </w:pPr>
      <w:r>
        <w:rPr>
          <w:rFonts w:eastAsia="黑体" w:cs="Times New Roman"/>
          <w:szCs w:val="28"/>
        </w:rPr>
        <w:t>5.</w:t>
      </w:r>
      <w:r>
        <w:rPr>
          <w:rFonts w:hint="eastAsia" w:eastAsia="黑体" w:cs="Times New Roman"/>
          <w:szCs w:val="28"/>
        </w:rPr>
        <w:t>1</w:t>
      </w:r>
      <w:r>
        <w:rPr>
          <w:rFonts w:eastAsia="黑体" w:cs="Times New Roman"/>
          <w:szCs w:val="28"/>
        </w:rPr>
        <w:t>.1  预测因子</w:t>
      </w:r>
    </w:p>
    <w:p>
      <w:pPr>
        <w:ind w:firstLine="420"/>
        <w:rPr>
          <w:rFonts w:cs="Times New Roman"/>
        </w:rPr>
      </w:pPr>
      <w:r>
        <w:rPr>
          <w:rFonts w:cs="Times New Roman"/>
        </w:rPr>
        <w:t>工频电场、工频磁场。</w:t>
      </w:r>
    </w:p>
    <w:p>
      <w:pPr>
        <w:keepNext/>
        <w:keepLines/>
        <w:spacing w:line="360" w:lineRule="auto"/>
        <w:outlineLvl w:val="3"/>
        <w:rPr>
          <w:rFonts w:eastAsia="黑体" w:cs="Times New Roman"/>
          <w:szCs w:val="28"/>
        </w:rPr>
      </w:pPr>
      <w:r>
        <w:rPr>
          <w:rFonts w:eastAsia="黑体" w:cs="Times New Roman"/>
          <w:szCs w:val="28"/>
        </w:rPr>
        <w:t>5.</w:t>
      </w:r>
      <w:r>
        <w:rPr>
          <w:rFonts w:hint="eastAsia" w:eastAsia="黑体" w:cs="Times New Roman"/>
          <w:szCs w:val="28"/>
        </w:rPr>
        <w:t>1</w:t>
      </w:r>
      <w:r>
        <w:rPr>
          <w:rFonts w:eastAsia="黑体" w:cs="Times New Roman"/>
          <w:szCs w:val="28"/>
        </w:rPr>
        <w:t>.2  预测模式</w:t>
      </w:r>
    </w:p>
    <w:p>
      <w:pPr>
        <w:snapToGrid w:val="0"/>
        <w:spacing w:line="360" w:lineRule="auto"/>
        <w:ind w:firstLine="480"/>
        <w:rPr>
          <w:rFonts w:cs="Times New Roman"/>
          <w:szCs w:val="21"/>
        </w:rPr>
      </w:pPr>
      <w:r>
        <w:rPr>
          <w:rFonts w:cs="Times New Roman"/>
          <w:szCs w:val="21"/>
        </w:rPr>
        <w:t>（1）计算模式</w:t>
      </w:r>
    </w:p>
    <w:p>
      <w:pPr>
        <w:snapToGrid w:val="0"/>
        <w:spacing w:line="360" w:lineRule="auto"/>
        <w:ind w:firstLine="480"/>
        <w:rPr>
          <w:rFonts w:cs="Times New Roman"/>
          <w:szCs w:val="21"/>
        </w:rPr>
      </w:pPr>
      <w:r>
        <w:rPr>
          <w:rFonts w:cs="Times New Roman"/>
          <w:szCs w:val="21"/>
        </w:rPr>
        <w:t>线路模型计算采用《环境影响评价技术导则 输变电》（HJ24-2020）附录C的计算方法，分别计算110kV线路在各预测点处的电磁场强度。</w:t>
      </w:r>
    </w:p>
    <w:p>
      <w:pPr>
        <w:snapToGrid w:val="0"/>
        <w:spacing w:line="360" w:lineRule="auto"/>
        <w:ind w:firstLine="480"/>
        <w:rPr>
          <w:rFonts w:cs="Times New Roman"/>
          <w:szCs w:val="21"/>
        </w:rPr>
      </w:pPr>
      <w:r>
        <w:rPr>
          <w:rFonts w:cs="Times New Roman"/>
          <w:szCs w:val="21"/>
        </w:rPr>
        <w:t>A. 电场强度计算模式</w:t>
      </w:r>
    </w:p>
    <w:p>
      <w:pPr>
        <w:snapToGrid w:val="0"/>
        <w:spacing w:line="360" w:lineRule="auto"/>
        <w:ind w:firstLine="480"/>
        <w:rPr>
          <w:rFonts w:cs="Times New Roman"/>
          <w:szCs w:val="21"/>
        </w:rPr>
      </w:pPr>
      <w:r>
        <w:rPr>
          <w:rFonts w:cs="Times New Roman"/>
          <w:szCs w:val="21"/>
        </w:rPr>
        <w:t>由矩阵方程计算多导线线路上的等效电荷：</w:t>
      </w:r>
    </w:p>
    <w:p>
      <w:pPr>
        <w:snapToGrid w:val="0"/>
        <w:spacing w:line="360" w:lineRule="auto"/>
        <w:jc w:val="right"/>
        <w:rPr>
          <w:rFonts w:cs="Times New Roman"/>
          <w:szCs w:val="21"/>
        </w:rPr>
      </w:pPr>
      <w:r>
        <w:rPr>
          <w:rFonts w:cs="Times New Roman"/>
          <w:position w:val="-68"/>
          <w:szCs w:val="21"/>
        </w:rPr>
        <w:drawing>
          <wp:inline distT="0" distB="0" distL="0" distR="0">
            <wp:extent cx="2225040" cy="941070"/>
            <wp:effectExtent l="0" t="0" r="381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225040" cy="941070"/>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（1）</w:t>
      </w:r>
    </w:p>
    <w:p>
      <w:pPr>
        <w:snapToGrid w:val="0"/>
        <w:spacing w:line="360" w:lineRule="auto"/>
        <w:ind w:firstLine="480"/>
        <w:rPr>
          <w:rFonts w:cs="Times New Roman"/>
          <w:szCs w:val="21"/>
        </w:rPr>
      </w:pPr>
      <w:r>
        <w:rPr>
          <w:rFonts w:cs="Times New Roman"/>
          <w:szCs w:val="21"/>
        </w:rPr>
        <w:t>式中：[</w:t>
      </w:r>
      <w:r>
        <w:rPr>
          <w:rFonts w:cs="Times New Roman"/>
          <w:i/>
          <w:iCs/>
          <w:szCs w:val="21"/>
        </w:rPr>
        <w:t>U</w:t>
      </w:r>
      <w:r>
        <w:rPr>
          <w:rFonts w:cs="Times New Roman"/>
          <w:szCs w:val="21"/>
        </w:rPr>
        <w:t>]—各导线对地电压的单列矩阵；</w:t>
      </w:r>
    </w:p>
    <w:p>
      <w:pPr>
        <w:snapToGrid w:val="0"/>
        <w:spacing w:line="360" w:lineRule="auto"/>
        <w:ind w:firstLine="1050" w:firstLineChars="500"/>
        <w:rPr>
          <w:rFonts w:cs="Times New Roman"/>
          <w:szCs w:val="21"/>
        </w:rPr>
      </w:pPr>
      <w:r>
        <w:rPr>
          <w:rFonts w:cs="Times New Roman"/>
          <w:szCs w:val="21"/>
        </w:rPr>
        <w:t>[</w:t>
      </w:r>
      <w:r>
        <w:rPr>
          <w:rFonts w:cs="Times New Roman"/>
          <w:i/>
          <w:iCs/>
          <w:szCs w:val="21"/>
        </w:rPr>
        <w:t>Q</w:t>
      </w:r>
      <w:r>
        <w:rPr>
          <w:rFonts w:cs="Times New Roman"/>
          <w:szCs w:val="21"/>
        </w:rPr>
        <w:t>]—各导线上等效电荷的单列矩阵；</w:t>
      </w:r>
    </w:p>
    <w:p>
      <w:pPr>
        <w:snapToGrid w:val="0"/>
        <w:spacing w:line="360" w:lineRule="auto"/>
        <w:ind w:firstLine="1050" w:firstLineChars="500"/>
        <w:rPr>
          <w:rFonts w:cs="Times New Roman"/>
          <w:szCs w:val="21"/>
        </w:rPr>
      </w:pPr>
      <w:r>
        <w:rPr>
          <w:rFonts w:eastAsia="Batang" w:cs="Times New Roman"/>
          <w:szCs w:val="21"/>
        </w:rPr>
        <w:t>[</w:t>
      </w:r>
      <w:r>
        <w:rPr>
          <w:rFonts w:eastAsia="Batang" w:cs="Times New Roman"/>
          <w:i/>
          <w:iCs/>
          <w:szCs w:val="21"/>
        </w:rPr>
        <w:t>λ</w:t>
      </w:r>
      <w:r>
        <w:rPr>
          <w:rFonts w:eastAsia="Batang" w:cs="Times New Roman"/>
          <w:szCs w:val="21"/>
        </w:rPr>
        <w:t>]</w:t>
      </w:r>
      <w:r>
        <w:rPr>
          <w:rFonts w:cs="Times New Roman"/>
          <w:szCs w:val="21"/>
        </w:rPr>
        <w:t>—各导线的电位系数组成的</w:t>
      </w:r>
      <w:r>
        <w:rPr>
          <w:rFonts w:cs="Times New Roman"/>
          <w:i/>
          <w:iCs/>
          <w:szCs w:val="21"/>
        </w:rPr>
        <w:t>n</w:t>
      </w:r>
      <w:r>
        <w:rPr>
          <w:rFonts w:cs="Times New Roman"/>
          <w:szCs w:val="21"/>
        </w:rPr>
        <w:t>阶方阵（</w:t>
      </w:r>
      <w:r>
        <w:rPr>
          <w:rFonts w:cs="Times New Roman"/>
          <w:i/>
          <w:iCs/>
          <w:szCs w:val="21"/>
        </w:rPr>
        <w:t>n</w:t>
      </w:r>
      <w:r>
        <w:rPr>
          <w:rFonts w:cs="Times New Roman"/>
          <w:szCs w:val="21"/>
        </w:rPr>
        <w:t>为导线数目）。</w:t>
      </w:r>
    </w:p>
    <w:p>
      <w:pPr>
        <w:snapToGrid w:val="0"/>
        <w:spacing w:line="360" w:lineRule="auto"/>
        <w:ind w:firstLine="480"/>
        <w:rPr>
          <w:rFonts w:cs="Times New Roman"/>
          <w:szCs w:val="21"/>
        </w:rPr>
      </w:pPr>
      <w:r>
        <w:rPr>
          <w:rFonts w:cs="Times New Roman"/>
          <w:szCs w:val="21"/>
        </w:rPr>
        <w:t>按对地电压的计算法计算三相对地电压</w:t>
      </w:r>
      <w:r>
        <w:rPr>
          <w:rFonts w:cs="Times New Roman"/>
          <w:i/>
          <w:iCs/>
          <w:szCs w:val="21"/>
        </w:rPr>
        <w:t>U</w:t>
      </w:r>
      <w:r>
        <w:rPr>
          <w:rFonts w:cs="Times New Roman"/>
          <w:szCs w:val="21"/>
          <w:vertAlign w:val="subscript"/>
        </w:rPr>
        <w:t>n</w:t>
      </w:r>
      <w:r>
        <w:rPr>
          <w:rFonts w:cs="Times New Roman"/>
          <w:szCs w:val="21"/>
        </w:rPr>
        <w:t>，根据输电线类型，取</w:t>
      </w:r>
      <w:r>
        <w:rPr>
          <w:rFonts w:cs="Times New Roman"/>
          <w:i/>
          <w:iCs/>
          <w:szCs w:val="21"/>
        </w:rPr>
        <w:t>n</w:t>
      </w:r>
      <w:r>
        <w:rPr>
          <w:rFonts w:cs="Times New Roman"/>
          <w:szCs w:val="21"/>
        </w:rPr>
        <w:t>=6，</w:t>
      </w:r>
      <w:r>
        <w:rPr>
          <w:rFonts w:cs="Times New Roman"/>
          <w:i/>
          <w:iCs/>
          <w:szCs w:val="21"/>
        </w:rPr>
        <w:t>U</w:t>
      </w:r>
      <w:r>
        <w:rPr>
          <w:rFonts w:cs="Times New Roman"/>
          <w:szCs w:val="21"/>
          <w:vertAlign w:val="subscript"/>
        </w:rPr>
        <w:t>1</w:t>
      </w:r>
      <w:r>
        <w:rPr>
          <w:rFonts w:cs="Times New Roman"/>
          <w:szCs w:val="21"/>
        </w:rPr>
        <w:t>=</w:t>
      </w:r>
      <w:r>
        <w:rPr>
          <w:rFonts w:cs="Times New Roman"/>
          <w:i/>
          <w:iCs/>
          <w:szCs w:val="21"/>
        </w:rPr>
        <w:t>U</w:t>
      </w:r>
      <w:r>
        <w:rPr>
          <w:rFonts w:cs="Times New Roman"/>
          <w:szCs w:val="21"/>
          <w:vertAlign w:val="subscript"/>
        </w:rPr>
        <w:t>4</w:t>
      </w:r>
      <w:r>
        <w:rPr>
          <w:rFonts w:cs="Times New Roman"/>
          <w:szCs w:val="21"/>
        </w:rPr>
        <w:t>，</w:t>
      </w:r>
      <w:r>
        <w:rPr>
          <w:rFonts w:cs="Times New Roman"/>
          <w:i/>
          <w:iCs/>
          <w:szCs w:val="21"/>
        </w:rPr>
        <w:t>U</w:t>
      </w:r>
      <w:r>
        <w:rPr>
          <w:rFonts w:cs="Times New Roman"/>
          <w:szCs w:val="21"/>
          <w:vertAlign w:val="subscript"/>
        </w:rPr>
        <w:t>2</w:t>
      </w:r>
      <w:r>
        <w:rPr>
          <w:rFonts w:cs="Times New Roman"/>
          <w:szCs w:val="21"/>
        </w:rPr>
        <w:t>=</w:t>
      </w:r>
      <w:r>
        <w:rPr>
          <w:rFonts w:cs="Times New Roman"/>
          <w:i/>
          <w:iCs/>
          <w:szCs w:val="21"/>
        </w:rPr>
        <w:t>U</w:t>
      </w:r>
      <w:r>
        <w:rPr>
          <w:rFonts w:cs="Times New Roman"/>
          <w:szCs w:val="21"/>
          <w:vertAlign w:val="subscript"/>
        </w:rPr>
        <w:t>4</w:t>
      </w:r>
      <w:r>
        <w:rPr>
          <w:rFonts w:cs="Times New Roman"/>
          <w:szCs w:val="21"/>
        </w:rPr>
        <w:t>，</w:t>
      </w:r>
      <w:r>
        <w:rPr>
          <w:rFonts w:cs="Times New Roman"/>
          <w:i/>
          <w:iCs/>
          <w:szCs w:val="21"/>
        </w:rPr>
        <w:t>U</w:t>
      </w:r>
      <w:r>
        <w:rPr>
          <w:rFonts w:cs="Times New Roman"/>
          <w:szCs w:val="21"/>
          <w:vertAlign w:val="subscript"/>
        </w:rPr>
        <w:t>3</w:t>
      </w:r>
      <w:r>
        <w:rPr>
          <w:rFonts w:cs="Times New Roman"/>
          <w:szCs w:val="21"/>
        </w:rPr>
        <w:t>=</w:t>
      </w:r>
      <w:r>
        <w:rPr>
          <w:rFonts w:cs="Times New Roman"/>
          <w:i/>
          <w:iCs/>
          <w:szCs w:val="21"/>
        </w:rPr>
        <w:t>U</w:t>
      </w:r>
      <w:r>
        <w:rPr>
          <w:rFonts w:cs="Times New Roman"/>
          <w:szCs w:val="21"/>
          <w:vertAlign w:val="subscript"/>
        </w:rPr>
        <w:t>6</w:t>
      </w:r>
      <w:r>
        <w:rPr>
          <w:rFonts w:cs="Times New Roman"/>
          <w:szCs w:val="21"/>
        </w:rPr>
        <w:t>。由镜像原理求得导线之间的电位系数</w:t>
      </w:r>
      <w:r>
        <w:rPr>
          <w:rFonts w:cs="Times New Roman"/>
          <w:i/>
          <w:iCs/>
          <w:szCs w:val="21"/>
        </w:rPr>
        <w:t>λ</w:t>
      </w:r>
      <w:r>
        <w:rPr>
          <w:rFonts w:cs="Times New Roman"/>
          <w:szCs w:val="21"/>
        </w:rPr>
        <w:t>，分别得到[</w:t>
      </w:r>
      <w:r>
        <w:rPr>
          <w:rFonts w:cs="Times New Roman"/>
          <w:i/>
          <w:iCs/>
          <w:szCs w:val="21"/>
        </w:rPr>
        <w:t>U</w:t>
      </w:r>
      <w:r>
        <w:rPr>
          <w:rFonts w:cs="Times New Roman"/>
          <w:szCs w:val="21"/>
        </w:rPr>
        <w:t>]矩阵和[</w:t>
      </w:r>
      <w:r>
        <w:rPr>
          <w:rFonts w:cs="Times New Roman"/>
          <w:i/>
          <w:iCs/>
          <w:szCs w:val="21"/>
        </w:rPr>
        <w:t>λ</w:t>
      </w:r>
      <w:r>
        <w:rPr>
          <w:rFonts w:cs="Times New Roman"/>
          <w:szCs w:val="21"/>
        </w:rPr>
        <w:t>]矩阵。电位系数</w:t>
      </w:r>
      <w:r>
        <w:rPr>
          <w:rFonts w:cs="Times New Roman"/>
          <w:i/>
          <w:iCs/>
          <w:szCs w:val="21"/>
        </w:rPr>
        <w:t>λ</w:t>
      </w:r>
      <w:r>
        <w:rPr>
          <w:rFonts w:cs="Times New Roman"/>
          <w:szCs w:val="21"/>
        </w:rPr>
        <w:t>按下式计算：</w:t>
      </w:r>
    </w:p>
    <w:p>
      <w:pPr>
        <w:snapToGrid w:val="0"/>
        <w:spacing w:line="360" w:lineRule="auto"/>
        <w:jc w:val="right"/>
        <w:rPr>
          <w:rFonts w:cs="Times New Roman"/>
          <w:szCs w:val="21"/>
        </w:rPr>
      </w:pPr>
      <w:r>
        <w:rPr>
          <w:rFonts w:cs="Times New Roman"/>
          <w:position w:val="-30"/>
          <w:szCs w:val="21"/>
        </w:rPr>
        <w:drawing>
          <wp:inline distT="0" distB="0" distL="0" distR="0">
            <wp:extent cx="1083310" cy="44386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083310" cy="44386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(2a)</w:t>
      </w:r>
    </w:p>
    <w:p>
      <w:pPr>
        <w:snapToGrid w:val="0"/>
        <w:spacing w:line="360" w:lineRule="auto"/>
        <w:jc w:val="right"/>
        <w:rPr>
          <w:rFonts w:cs="Times New Roman"/>
          <w:szCs w:val="21"/>
        </w:rPr>
      </w:pPr>
      <w:r>
        <w:rPr>
          <w:rFonts w:cs="Times New Roman"/>
          <w:position w:val="-32"/>
          <w:szCs w:val="21"/>
        </w:rPr>
        <w:drawing>
          <wp:inline distT="0" distB="0" distL="0" distR="0">
            <wp:extent cx="1067435" cy="470535"/>
            <wp:effectExtent l="0" t="0" r="0" b="571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067435" cy="47053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(2b)</w:t>
      </w:r>
    </w:p>
    <w:p>
      <w:pPr>
        <w:snapToGrid w:val="0"/>
        <w:spacing w:line="360" w:lineRule="auto"/>
        <w:jc w:val="right"/>
        <w:rPr>
          <w:rFonts w:cs="Times New Roman"/>
          <w:szCs w:val="21"/>
        </w:rPr>
      </w:pPr>
      <w:r>
        <w:rPr>
          <w:rFonts w:cs="Times New Roman"/>
          <w:position w:val="-14"/>
          <w:szCs w:val="21"/>
        </w:rPr>
        <w:drawing>
          <wp:inline distT="0" distB="0" distL="0" distR="0">
            <wp:extent cx="507365" cy="243205"/>
            <wp:effectExtent l="0" t="0" r="6985" b="444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07365" cy="24320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(2c)</w:t>
      </w:r>
    </w:p>
    <w:p>
      <w:pPr>
        <w:snapToGrid w:val="0"/>
        <w:spacing w:line="360" w:lineRule="auto"/>
        <w:rPr>
          <w:rFonts w:cs="Times New Roman"/>
          <w:szCs w:val="21"/>
        </w:rPr>
      </w:pPr>
      <w:r>
        <w:rPr>
          <w:rFonts w:cs="Times New Roman"/>
          <w:szCs w:val="21"/>
        </w:rPr>
        <w:t>式中：</w:t>
      </w:r>
      <w:r>
        <w:rPr>
          <w:rFonts w:cs="Times New Roman"/>
          <w:position w:val="-12"/>
          <w:szCs w:val="21"/>
        </w:rPr>
        <w:drawing>
          <wp:inline distT="0" distB="0" distL="0" distR="0">
            <wp:extent cx="174625" cy="227330"/>
            <wp:effectExtent l="0" t="0" r="0" b="127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74625" cy="227330"/>
                    </a:xfrm>
                    <a:prstGeom prst="rect">
                      <a:avLst/>
                    </a:prstGeom>
                    <a:noFill/>
                    <a:ln>
                      <a:noFill/>
                    </a:ln>
                  </pic:spPr>
                </pic:pic>
              </a:graphicData>
            </a:graphic>
          </wp:inline>
        </w:drawing>
      </w:r>
      <w:r>
        <w:rPr>
          <w:rFonts w:cs="Times New Roman"/>
          <w:szCs w:val="21"/>
        </w:rPr>
        <w:t>—空气介电常数，</w:t>
      </w:r>
      <w:r>
        <w:rPr>
          <w:rFonts w:cs="Times New Roman"/>
          <w:szCs w:val="21"/>
        </w:rPr>
        <mc:AlternateContent>
          <mc:Choice Requires="wpc">
            <w:drawing>
              <wp:inline distT="0" distB="0" distL="0" distR="0">
                <wp:extent cx="1354455" cy="620395"/>
                <wp:effectExtent l="0" t="0" r="0" b="8255"/>
                <wp:docPr id="221" name="画布 221"/>
                <wp:cNvGraphicFramePr/>
                <a:graphic xmlns:a="http://schemas.openxmlformats.org/drawingml/2006/main">
                  <a:graphicData uri="http://schemas.microsoft.com/office/word/2010/wordprocessingCanvas">
                    <wpc:wpc>
                      <wpc:bg>
                        <a:noFill/>
                      </wpc:bg>
                      <wpc:whole/>
                      <wps:wsp>
                        <wps:cNvPr id="206" name="直接连接符 39"/>
                        <wps:cNvCnPr>
                          <a:cxnSpLocks noChangeShapeType="1"/>
                        </wps:cNvCnPr>
                        <wps:spPr bwMode="auto">
                          <a:xfrm>
                            <a:off x="329513" y="203226"/>
                            <a:ext cx="260411" cy="0"/>
                          </a:xfrm>
                          <a:prstGeom prst="line">
                            <a:avLst/>
                          </a:prstGeom>
                          <a:noFill/>
                          <a:ln w="6350">
                            <a:solidFill>
                              <a:srgbClr val="000000"/>
                            </a:solidFill>
                            <a:round/>
                          </a:ln>
                        </wps:spPr>
                        <wps:bodyPr/>
                      </wps:wsp>
                      <wps:wsp>
                        <wps:cNvPr id="207" name="矩形 40"/>
                        <wps:cNvSpPr>
                          <a:spLocks noChangeArrowheads="1"/>
                        </wps:cNvSpPr>
                        <wps:spPr bwMode="auto">
                          <a:xfrm>
                            <a:off x="1197649" y="66933"/>
                            <a:ext cx="110490" cy="198120"/>
                          </a:xfrm>
                          <a:prstGeom prst="rect">
                            <a:avLst/>
                          </a:prstGeom>
                          <a:noFill/>
                          <a:ln>
                            <a:noFill/>
                          </a:ln>
                        </wps:spPr>
                        <wps:txbx>
                          <w:txbxContent>
                            <w:p>
                              <w:r>
                                <w:rPr>
                                  <w:i/>
                                  <w:iCs/>
                                  <w:color w:val="000000"/>
                                  <w:kern w:val="0"/>
                                  <w:sz w:val="24"/>
                                </w:rPr>
                                <w:t>m</w:t>
                              </w:r>
                            </w:p>
                          </w:txbxContent>
                        </wps:txbx>
                        <wps:bodyPr rot="0" vert="horz" wrap="none" lIns="0" tIns="0" rIns="0" bIns="0" anchor="t" anchorCtr="0" upright="1">
                          <a:spAutoFit/>
                        </wps:bodyPr>
                      </wps:wsp>
                      <wps:wsp>
                        <wps:cNvPr id="208" name="矩形 41"/>
                        <wps:cNvSpPr>
                          <a:spLocks noChangeArrowheads="1"/>
                        </wps:cNvSpPr>
                        <wps:spPr bwMode="auto">
                          <a:xfrm>
                            <a:off x="998241" y="66257"/>
                            <a:ext cx="93345" cy="198120"/>
                          </a:xfrm>
                          <a:prstGeom prst="rect">
                            <a:avLst/>
                          </a:prstGeom>
                          <a:noFill/>
                          <a:ln>
                            <a:noFill/>
                          </a:ln>
                        </wps:spPr>
                        <wps:txbx>
                          <w:txbxContent>
                            <w:p>
                              <w:r>
                                <w:rPr>
                                  <w:i/>
                                  <w:iCs/>
                                  <w:color w:val="000000"/>
                                  <w:kern w:val="0"/>
                                  <w:sz w:val="24"/>
                                </w:rPr>
                                <w:t>F</w:t>
                              </w:r>
                            </w:p>
                          </w:txbxContent>
                        </wps:txbx>
                        <wps:bodyPr rot="0" vert="horz" wrap="none" lIns="0" tIns="0" rIns="0" bIns="0" anchor="t" anchorCtr="0" upright="1">
                          <a:spAutoFit/>
                        </wps:bodyPr>
                      </wps:wsp>
                      <wps:wsp>
                        <wps:cNvPr id="209" name="矩形 42"/>
                        <wps:cNvSpPr>
                          <a:spLocks noChangeArrowheads="1"/>
                        </wps:cNvSpPr>
                        <wps:spPr bwMode="auto">
                          <a:xfrm>
                            <a:off x="1128346" y="105413"/>
                            <a:ext cx="42545" cy="198120"/>
                          </a:xfrm>
                          <a:prstGeom prst="rect">
                            <a:avLst/>
                          </a:prstGeom>
                          <a:noFill/>
                          <a:ln>
                            <a:noFill/>
                          </a:ln>
                        </wps:spPr>
                        <wps:txbx>
                          <w:txbxContent>
                            <w:p>
                              <w:r>
                                <w:rPr>
                                  <w:color w:val="000000"/>
                                  <w:kern w:val="0"/>
                                  <w:sz w:val="24"/>
                                </w:rPr>
                                <w:t>/</w:t>
                              </w:r>
                            </w:p>
                          </w:txbxContent>
                        </wps:txbx>
                        <wps:bodyPr rot="0" vert="horz" wrap="none" lIns="0" tIns="0" rIns="0" bIns="0" anchor="t" anchorCtr="0" upright="1">
                          <a:spAutoFit/>
                        </wps:bodyPr>
                      </wps:wsp>
                      <wps:wsp>
                        <wps:cNvPr id="210" name="矩形 43"/>
                        <wps:cNvSpPr>
                          <a:spLocks noChangeArrowheads="1"/>
                        </wps:cNvSpPr>
                        <wps:spPr bwMode="auto">
                          <a:xfrm>
                            <a:off x="708629" y="105413"/>
                            <a:ext cx="153035" cy="198120"/>
                          </a:xfrm>
                          <a:prstGeom prst="rect">
                            <a:avLst/>
                          </a:prstGeom>
                          <a:noFill/>
                          <a:ln>
                            <a:noFill/>
                          </a:ln>
                        </wps:spPr>
                        <wps:txbx>
                          <w:txbxContent>
                            <w:p>
                              <w:r>
                                <w:rPr>
                                  <w:color w:val="000000"/>
                                  <w:kern w:val="0"/>
                                  <w:sz w:val="24"/>
                                </w:rPr>
                                <w:t>10</w:t>
                              </w:r>
                            </w:p>
                          </w:txbxContent>
                        </wps:txbx>
                        <wps:bodyPr rot="0" vert="horz" wrap="none" lIns="0" tIns="0" rIns="0" bIns="0" anchor="t" anchorCtr="0" upright="1">
                          <a:spAutoFit/>
                        </wps:bodyPr>
                      </wps:wsp>
                      <wps:wsp>
                        <wps:cNvPr id="211" name="矩形 44"/>
                        <wps:cNvSpPr>
                          <a:spLocks noChangeArrowheads="1"/>
                        </wps:cNvSpPr>
                        <wps:spPr bwMode="auto">
                          <a:xfrm>
                            <a:off x="335214" y="224728"/>
                            <a:ext cx="153035" cy="198120"/>
                          </a:xfrm>
                          <a:prstGeom prst="rect">
                            <a:avLst/>
                          </a:prstGeom>
                          <a:noFill/>
                          <a:ln>
                            <a:noFill/>
                          </a:ln>
                        </wps:spPr>
                        <wps:txbx>
                          <w:txbxContent>
                            <w:p>
                              <w:r>
                                <w:rPr>
                                  <w:color w:val="000000"/>
                                  <w:kern w:val="0"/>
                                  <w:sz w:val="24"/>
                                </w:rPr>
                                <w:t>36</w:t>
                              </w:r>
                            </w:p>
                          </w:txbxContent>
                        </wps:txbx>
                        <wps:bodyPr rot="0" vert="horz" wrap="none" lIns="0" tIns="0" rIns="0" bIns="0" anchor="t" anchorCtr="0" upright="1">
                          <a:spAutoFit/>
                        </wps:bodyPr>
                      </wps:wsp>
                      <wps:wsp>
                        <wps:cNvPr id="212" name="矩形 45"/>
                        <wps:cNvSpPr>
                          <a:spLocks noChangeArrowheads="1"/>
                        </wps:cNvSpPr>
                        <wps:spPr bwMode="auto">
                          <a:xfrm>
                            <a:off x="421617" y="9492"/>
                            <a:ext cx="76835" cy="198120"/>
                          </a:xfrm>
                          <a:prstGeom prst="rect">
                            <a:avLst/>
                          </a:prstGeom>
                          <a:noFill/>
                          <a:ln>
                            <a:noFill/>
                          </a:ln>
                        </wps:spPr>
                        <wps:txbx>
                          <w:txbxContent>
                            <w:p>
                              <w:r>
                                <w:rPr>
                                  <w:color w:val="000000"/>
                                  <w:kern w:val="0"/>
                                  <w:sz w:val="24"/>
                                </w:rPr>
                                <w:t>1</w:t>
                              </w:r>
                            </w:p>
                          </w:txbxContent>
                        </wps:txbx>
                        <wps:bodyPr rot="0" vert="horz" wrap="none" lIns="0" tIns="0" rIns="0" bIns="0" anchor="t" anchorCtr="0" upright="1">
                          <a:spAutoFit/>
                        </wps:bodyPr>
                      </wps:wsp>
                      <wps:wsp>
                        <wps:cNvPr id="213" name="矩形 46"/>
                        <wps:cNvSpPr>
                          <a:spLocks noChangeArrowheads="1"/>
                        </wps:cNvSpPr>
                        <wps:spPr bwMode="auto">
                          <a:xfrm>
                            <a:off x="924538" y="93312"/>
                            <a:ext cx="45085" cy="198120"/>
                          </a:xfrm>
                          <a:prstGeom prst="rect">
                            <a:avLst/>
                          </a:prstGeom>
                          <a:noFill/>
                          <a:ln>
                            <a:noFill/>
                          </a:ln>
                        </wps:spPr>
                        <wps:txbx>
                          <w:txbxContent>
                            <w:p>
                              <w:r>
                                <w:rPr>
                                  <w:color w:val="000000"/>
                                  <w:kern w:val="0"/>
                                  <w:sz w:val="14"/>
                                  <w:szCs w:val="14"/>
                                </w:rPr>
                                <w:t>9</w:t>
                              </w:r>
                            </w:p>
                          </w:txbxContent>
                        </wps:txbx>
                        <wps:bodyPr rot="0" vert="horz" wrap="none" lIns="0" tIns="0" rIns="0" bIns="0" anchor="t" anchorCtr="0" upright="1">
                          <a:spAutoFit/>
                        </wps:bodyPr>
                      </wps:wsp>
                      <wps:wsp>
                        <wps:cNvPr id="214" name="矩形 47"/>
                        <wps:cNvSpPr>
                          <a:spLocks noChangeArrowheads="1"/>
                        </wps:cNvSpPr>
                        <wps:spPr bwMode="auto">
                          <a:xfrm>
                            <a:off x="99604" y="199326"/>
                            <a:ext cx="45085" cy="198120"/>
                          </a:xfrm>
                          <a:prstGeom prst="rect">
                            <a:avLst/>
                          </a:prstGeom>
                          <a:noFill/>
                          <a:ln>
                            <a:noFill/>
                          </a:ln>
                        </wps:spPr>
                        <wps:txbx>
                          <w:txbxContent>
                            <w:p>
                              <w:r>
                                <w:rPr>
                                  <w:color w:val="000000"/>
                                  <w:kern w:val="0"/>
                                  <w:sz w:val="14"/>
                                  <w:szCs w:val="14"/>
                                </w:rPr>
                                <w:t>0</w:t>
                              </w:r>
                            </w:p>
                          </w:txbxContent>
                        </wps:txbx>
                        <wps:bodyPr rot="0" vert="horz" wrap="none" lIns="0" tIns="0" rIns="0" bIns="0" anchor="t" anchorCtr="0" upright="1">
                          <a:spAutoFit/>
                        </wps:bodyPr>
                      </wps:wsp>
                      <wps:wsp>
                        <wps:cNvPr id="215" name="矩形 48"/>
                        <wps:cNvSpPr>
                          <a:spLocks noChangeArrowheads="1"/>
                        </wps:cNvSpPr>
                        <wps:spPr bwMode="auto">
                          <a:xfrm>
                            <a:off x="871235" y="83811"/>
                            <a:ext cx="48895" cy="198120"/>
                          </a:xfrm>
                          <a:prstGeom prst="rect">
                            <a:avLst/>
                          </a:prstGeom>
                          <a:noFill/>
                          <a:ln>
                            <a:noFill/>
                          </a:ln>
                        </wps:spPr>
                        <wps:txbx>
                          <w:txbxContent>
                            <w:p>
                              <w:r>
                                <w:rPr>
                                  <w:rFonts w:ascii="Symbol" w:hAnsi="Symbol" w:cs="Symbol"/>
                                  <w:color w:val="000000"/>
                                  <w:kern w:val="0"/>
                                  <w:sz w:val="14"/>
                                  <w:szCs w:val="14"/>
                                </w:rPr>
                                <w:t></w:t>
                              </w:r>
                            </w:p>
                          </w:txbxContent>
                        </wps:txbx>
                        <wps:bodyPr rot="0" vert="horz" wrap="none" lIns="0" tIns="0" rIns="0" bIns="0" anchor="t" anchorCtr="0" upright="1">
                          <a:spAutoFit/>
                        </wps:bodyPr>
                      </wps:wsp>
                      <wps:wsp>
                        <wps:cNvPr id="216" name="矩形 49"/>
                        <wps:cNvSpPr>
                          <a:spLocks noChangeArrowheads="1"/>
                        </wps:cNvSpPr>
                        <wps:spPr bwMode="auto">
                          <a:xfrm>
                            <a:off x="615925" y="88211"/>
                            <a:ext cx="83203" cy="198125"/>
                          </a:xfrm>
                          <a:prstGeom prst="rect">
                            <a:avLst/>
                          </a:prstGeom>
                          <a:noFill/>
                          <a:ln>
                            <a:noFill/>
                          </a:ln>
                        </wps:spPr>
                        <wps:txbx>
                          <w:txbxContent>
                            <w:p>
                              <w:r>
                                <w:rPr>
                                  <w:rFonts w:ascii="Symbol" w:hAnsi="Symbol" w:cs="Symbol"/>
                                  <w:color w:val="000000"/>
                                  <w:kern w:val="0"/>
                                  <w:sz w:val="24"/>
                                </w:rPr>
                                <w:t></w:t>
                              </w:r>
                            </w:p>
                          </w:txbxContent>
                        </wps:txbx>
                        <wps:bodyPr rot="0" vert="horz" wrap="none" lIns="0" tIns="0" rIns="0" bIns="0" anchor="t" anchorCtr="0" upright="1">
                          <a:spAutoFit/>
                        </wps:bodyPr>
                      </wps:wsp>
                      <wps:wsp>
                        <wps:cNvPr id="218" name="矩形 50"/>
                        <wps:cNvSpPr>
                          <a:spLocks noChangeArrowheads="1"/>
                        </wps:cNvSpPr>
                        <wps:spPr bwMode="auto">
                          <a:xfrm>
                            <a:off x="203808" y="88211"/>
                            <a:ext cx="83203" cy="198125"/>
                          </a:xfrm>
                          <a:prstGeom prst="rect">
                            <a:avLst/>
                          </a:prstGeom>
                          <a:noFill/>
                          <a:ln>
                            <a:noFill/>
                          </a:ln>
                        </wps:spPr>
                        <wps:txbx>
                          <w:txbxContent>
                            <w:p>
                              <w:r>
                                <w:rPr>
                                  <w:rFonts w:ascii="Symbol" w:hAnsi="Symbol" w:cs="Symbol"/>
                                  <w:color w:val="000000"/>
                                  <w:kern w:val="0"/>
                                  <w:sz w:val="24"/>
                                </w:rPr>
                                <w:t></w:t>
                              </w:r>
                            </w:p>
                          </w:txbxContent>
                        </wps:txbx>
                        <wps:bodyPr rot="0" vert="horz" wrap="none" lIns="0" tIns="0" rIns="0" bIns="0" anchor="t" anchorCtr="0" upright="1">
                          <a:spAutoFit/>
                        </wps:bodyPr>
                      </wps:wsp>
                      <wps:wsp>
                        <wps:cNvPr id="219" name="矩形 51"/>
                        <wps:cNvSpPr>
                          <a:spLocks noChangeArrowheads="1"/>
                        </wps:cNvSpPr>
                        <wps:spPr bwMode="auto">
                          <a:xfrm>
                            <a:off x="477519" y="135283"/>
                            <a:ext cx="83820" cy="198120"/>
                          </a:xfrm>
                          <a:prstGeom prst="rect">
                            <a:avLst/>
                          </a:prstGeom>
                          <a:noFill/>
                          <a:ln>
                            <a:noFill/>
                          </a:ln>
                        </wps:spPr>
                        <wps:txbx>
                          <w:txbxContent>
                            <w:p>
                              <w:r>
                                <w:rPr>
                                  <w:rFonts w:ascii="Symbol" w:hAnsi="Symbol" w:cs="Symbol"/>
                                  <w:i/>
                                  <w:iCs/>
                                  <w:color w:val="000000"/>
                                  <w:kern w:val="0"/>
                                  <w:sz w:val="24"/>
                                </w:rPr>
                                <w:t></w:t>
                              </w:r>
                            </w:p>
                          </w:txbxContent>
                        </wps:txbx>
                        <wps:bodyPr rot="0" vert="horz" wrap="none" lIns="0" tIns="0" rIns="0" bIns="0" anchor="t" anchorCtr="0" upright="1">
                          <a:spAutoFit/>
                        </wps:bodyPr>
                      </wps:wsp>
                      <wps:wsp>
                        <wps:cNvPr id="220" name="矩形 52"/>
                        <wps:cNvSpPr>
                          <a:spLocks noChangeArrowheads="1"/>
                        </wps:cNvSpPr>
                        <wps:spPr bwMode="auto">
                          <a:xfrm>
                            <a:off x="15801" y="57372"/>
                            <a:ext cx="67310" cy="198120"/>
                          </a:xfrm>
                          <a:prstGeom prst="rect">
                            <a:avLst/>
                          </a:prstGeom>
                          <a:noFill/>
                          <a:ln>
                            <a:noFill/>
                          </a:ln>
                        </wps:spPr>
                        <wps:txbx>
                          <w:txbxContent>
                            <w:p>
                              <w:r>
                                <w:rPr>
                                  <w:rFonts w:ascii="Symbol" w:hAnsi="Symbol" w:cs="Symbol"/>
                                  <w:i/>
                                  <w:iCs/>
                                  <w:color w:val="000000"/>
                                  <w:kern w:val="0"/>
                                  <w:sz w:val="24"/>
                                </w:rPr>
                                <w:t></w:t>
                              </w:r>
                            </w:p>
                          </w:txbxContent>
                        </wps:txbx>
                        <wps:bodyPr rot="0" vert="horz" wrap="none" lIns="0" tIns="0" rIns="0" bIns="0" anchor="t" anchorCtr="0" upright="1">
                          <a:spAutoFit/>
                        </wps:bodyPr>
                      </wps:wsp>
                    </wpc:wpc>
                  </a:graphicData>
                </a:graphic>
              </wp:inline>
            </w:drawing>
          </mc:Choice>
          <mc:Fallback>
            <w:pict>
              <v:group id="_x0000_s1026" o:spid="_x0000_s1026" o:spt="203" style="height:48.85pt;width:106.65pt;" coordsize="1354455,620395" editas="canvas" o:gfxdata="UEsDBAoAAAAAAIdO4kAAAAAAAAAAAAAAAAAEAAAAZHJzL1BLAwQUAAAACACHTuJAoYuH7NcAAAAE&#10;AQAADwAAAGRycy9kb3ducmV2LnhtbE2PQWvCQBCF7wX/wzJCL0U3UahtmokHQZRSEGP1vGanSWh2&#10;NmbXxP77bntpLwOP93jvm3R5M43oqXO1ZYR4GoEgLqyuuUR4P6wnTyCcV6xVY5kQvsjBMhvdpSrR&#10;duA99bkvRShhlyiEyvs2kdIVFRnlprYlDt6H7YzyQXal1J0aQrlp5CyKHqVRNYeFSrW0qqj4zK8G&#10;YSh2/enwtpG7h9PW8mV7WeXHV8T7cRy9gPB0839h+MEP6JAFprO9snaiQQiP+N8bvFk8n4M4Izwv&#10;FiCzVP6Hz74BUEsDBBQAAAAIAIdO4kDKU/pBeQQAAFwgAAAOAAAAZHJzL2Uyb0RvYy54bWztWk1v&#10;5DQYviPxH6zc6cR2vtXpatWlK6QFKnX5AZ4kk0QkdmSnzZQrd057QwIJCSQkjhyQEOLXLMvP4LWT&#10;zDTZXRYtaqaH9JAmjuOxn/fx8755Zk4f7aoS3aRSFYKvLXxiWyjlsUgKnq2tL55ffBRYSDWMJ6wU&#10;PF1bt6myHp19+MFpW0cpEbkok1QiGISrqK3XVt40dbRaqThPK6ZORJ1yuLkVsmINXMpslUjWwuhV&#10;uSK27a1aIZNaijhVClqfdDetMzP+dpvGzefbrUobVK4tmFtjjtIcN/q4OjtlUSZZnRdxPw32HrOo&#10;WMHhQ/dDPWENQ9eyeG2oqoilUGLbnMSiWonttohTswZYDbYnq3kqxXVt1pJFbVbvYQJoJzi997Dx&#10;ZzeXEhXJ2iIEW4izCoL06sXvL3/7GukWwKetswi6PZX1VX0p+4asu9JL3m1lpf/DYtDOIHu7Rzbd&#10;NSiGRkxdx3FdC8VwzyM2Dd0O+jiH+Lz2WJx//O8ProaPXenZ7SfT1sAidQBK/T+grnJWpwZ/pREY&#10;gLK9PVDf/vrXNz/+/ed3cHz1y0+Ihh1gpvs5v5Qal3jHr+pnIv5SIS7Oc8az1Az8/LYGrA3EsIo7&#10;j+gLBVCjTfupSKAPu26EYdcEakpCF1MLAaYAKSFeh+kAOvFsB0NQNeaG6XvUWFRL1TxNRYX0ydoq&#10;C64XyiJ280w1EGPoOnTRzVxcFGVpNkvJUQsxpK5tHlCiLBJ9U3dTMtuclxLdML3dzJ+eEgw26ga0&#10;5knXXnK4PSxYc01FG5HcGp6Zdghn1zxDXP19XL//+eUfPyDHoNbHRpPfrHESy8dSijZPWQJkGwWz&#10;e2BY2zuDiXHoe05ooul5IaXjYGJsOyEomA4mDgNM3hFRCdL3nyM6CjFE6w1RaXabHYTsECAkRaem&#10;oP5wkgv5lYVaUNK1xUHqLVR+wgESLbrDiRxONsMJ4zE8uLYaC3Wn500nzte1LLIcxsUdy+rHsAcu&#10;CkPNwxx67szJEchnvUj2HOk10uzf++ZIGAbEgR2tRdQjrj+mCHDG6SV2YUgvI0dgCGzhMUOIDtNs&#10;KkIC6kCC0jJhuw6kB/hwFg05wSHuwpGjqwgGVRxzxIRpJo74duCRLtG8iSLYpTZddETXJ8fMNLpy&#10;G3PEmVFHKHUJdrrSkjg+CcYysnDkQVQjmEw5Yl6rZtIRh2APQ80MqSZ0QpPlDonG94JFRI6faODt&#10;cCwi5h1xJoKExHEpFMyaIJQCWceliGsHS5o5epoBkR8zxLxVzMWQEDyKrlgNQzo1MJyFIQ/glRfD&#10;Jh0zxBQDMzEk8DHRiQQ0JKABFEVjDQkCcBIXU+TIperBEO1Nkbs+6H2bIh52Q9IzJCBThgQUrNE7&#10;DDEF0tuN0MU2uxfLHE9tM3CPYSPPpCHAgMDu6pBgYcjDNFbx1DZz5zRWHd939Qy0awZvvsHENYPM&#10;A377kmaOm2Z0CEaFiDurs+oGdme9uz71J+8ynk+1p7d8OfMWywyazVfY4KmNviO/e238tsOPAs7+&#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kG&#10;AABbQ29udGVudF9UeXBlc10ueG1sUEsBAhQACgAAAAAAh07iQAAAAAAAAAAAAAAAAAYAAAAAAAAA&#10;AAAQAAAAywUAAF9yZWxzL1BLAQIUABQAAAAIAIdO4kCKFGY80QAAAJQBAAALAAAAAAAAAAEAIAAA&#10;AO8FAABfcmVscy8ucmVsc1BLAQIUAAoAAAAAAIdO4kAAAAAAAAAAAAAAAAAEAAAAAAAAAAAAEAAA&#10;AAAAAABkcnMvUEsBAhQAFAAAAAgAh07iQKGLh+zXAAAABAEAAA8AAAAAAAAAAQAgAAAAIgAAAGRy&#10;cy9kb3ducmV2LnhtbFBLAQIUABQAAAAIAIdO4kDKU/pBeQQAAFwgAAAOAAAAAAAAAAEAIAAAACYB&#10;AABkcnMvZTJvRG9jLnhtbFBLBQYAAAAABgAGAFkBAAARCAAAAAA=&#10;">
                <o:lock v:ext="edit" aspectratio="f"/>
                <v:shape id="_x0000_s1026" o:spid="_x0000_s1026" style="position:absolute;left:0;top:0;height:620395;width:1354455;" filled="f" stroked="f" coordsize="21600,21600" o:gfxdata="UEsDBAoAAAAAAIdO4kAAAAAAAAAAAAAAAAAEAAAAZHJzL1BLAwQUAAAACACHTuJAoYuH7NcAAAAE&#10;AQAADwAAAGRycy9kb3ducmV2LnhtbE2PQWvCQBCF7wX/wzJCL0U3UahtmokHQZRSEGP1vGanSWh2&#10;NmbXxP77bntpLwOP93jvm3R5M43oqXO1ZYR4GoEgLqyuuUR4P6wnTyCcV6xVY5kQvsjBMhvdpSrR&#10;duA99bkvRShhlyiEyvs2kdIVFRnlprYlDt6H7YzyQXal1J0aQrlp5CyKHqVRNYeFSrW0qqj4zK8G&#10;YSh2/enwtpG7h9PW8mV7WeXHV8T7cRy9gPB0839h+MEP6JAFprO9snaiQQiP+N8bvFk8n4M4Izwv&#10;FiCzVP6Hz74BUEsDBBQAAAAIAIdO4kCZ6Js1OQQAALQfAAAOAAAAZHJzL2Uyb0RvYy54bWztWc2O&#10;5DQQviPxDpbvTMd2fpxoMqtVrwYhLTDSLA/gTtKdiMSO7Eynh4fgBZBAQgIJiSNXxNPA8hiUne6Z&#10;Tu8iVsCm55A5ZJxOUqny96Wq/Pny2a6p0bbQplIyxeTCw6iQmcoruUnxF6+uP+IYmU7IXNRKFim+&#10;Lwx+dvXhB5d9mxRUlarOC43AiDRJ36a47Lo2WSxMVhaNMBeqLSRcXCvdiA5O9WaRa9GD9aZeUM8L&#10;F73SeatVVhgDv74YLuIrZ3+9LrLu8/XaFB2qUwy+de6o3XFlj4urS5FstGjLKtu7If6FF42oJLz0&#10;wdQL0Ql0p6s3TDVVppVR6+4iU81CrddVVrgYIBrinUSzFHIrjAsmg9k5OAij/9HuamP9luq6qmuY&#10;jQVYT+xv9n8P+BTwY98COqZ9wMn8t/fflqItXFgmyT7b3mhU5SmmXoiRFA2w5PU3v/zx9Q9//vYt&#10;HF///CNisQXKegG3L+WNti5nO3nbvlTZlwZJtSyF3BTO8Kv7FkwQ+wQEc/SIPTEtvG3Vf6pyuEfc&#10;dcqhtlvrxpoEPNAuxYzGAWEY3VunGKXhQJNi16EMLtPQ8wnBKIPrjkELkRwstNp0HxeqQXaQ4rqS&#10;NlCRiO1L01mPRHK4ZTTtIqkl6lMcssBzDxhVV7nFxN5m9Ga1rDXaCktj9+fCgyvHt2l1J/PhJbXc&#10;R28DHqZupfL7G32YFYBzMlyjB1y/++n3X79Hvpu1PTa3zkGI5ATL51qrvixEDmQbgTk88M5gEhJH&#10;oR87NMMwZmwMJiGeH0NmsGCSmBP6D4hqSCnvjOgIYoD+Lah0u9UOMLHhDAAhrYYsBVkVBqXSX2HU&#10;Q4ZKsYQUilH9iYQpscnsMNCHweowEDKDB1PcYTQMl92Q9O5aXW1KsEsGlrXP4Ru4rhw1H33Yc2dK&#10;jkCd2H/7e444zCfiSBxz6sMXDRwIQxpEY4oAZ/xgZsieFANLz8AQ+ITHDKEWpokYQgjlzIcCZdOE&#10;F/hQHuDlIjnUBJ8GM0fOnkUIZMUxRxxME3Ek8nhIh0LzNoqQgHlsziOHBuRcecR2bmOO+BPmEcYC&#10;SvyhtaR+RPk4jcwceRLdCKGnHAkm5IhPSUigZ4ZSE/uxq3KPhSYK+ZxEzl9oYHU4TiJujThRoYmp&#10;HzBomC1BGAOyjluRwONzmTl7mYEkP2aIW1VMxZAYNIqhWY1jdipg+DNDnsCSl8BHOmaIawYmYgiP&#10;CLWFBHIIZxyaonEO4Tyec8jZc8ijILoXRY510PctnIUkiOmeIZyeMoQzkEaPRBHXIP29EDrLZu9F&#10;Mienshmox8DaiXIIMIB7Qx/CZ4Y8TWGVnMpmwZTCqh9FgfXAqmaw8uUnqhlUHtDbZ+192Kg6lyJi&#10;IRg1IsGkymrAvUF6DyIWnaxlwohZTW/enHE7mW8SxO3Wwk4tyPGjvefjcyfVP262X/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QYAAFtDb250&#10;ZW50X1R5cGVzXS54bWxQSwECFAAKAAAAAACHTuJAAAAAAAAAAAAAAAAABgAAAAAAAAAAABAAAACL&#10;BQAAX3JlbHMvUEsBAhQAFAAAAAgAh07iQIoUZjzRAAAAlAEAAAsAAAAAAAAAAQAgAAAArwUAAF9y&#10;ZWxzLy5yZWxzUEsBAhQACgAAAAAAh07iQAAAAAAAAAAAAAAAAAQAAAAAAAAAAAAQAAAAAAAAAGRy&#10;cy9QSwECFAAUAAAACACHTuJAoYuH7NcAAAAEAQAADwAAAAAAAAABACAAAAAiAAAAZHJzL2Rvd25y&#10;ZXYueG1sUEsBAhQAFAAAAAgAh07iQJnomzU5BAAAtB8AAA4AAAAAAAAAAQAgAAAAJgEAAGRycy9l&#10;Mm9Eb2MueG1sUEsFBgAAAAAGAAYAWQEAANEHAAAAAA==&#10;">
                  <v:fill on="f" focussize="0,0"/>
                  <v:stroke on="f"/>
                  <v:imagedata o:title=""/>
                  <o:lock v:ext="edit" aspectratio="f"/>
                </v:shape>
                <v:line id="直接连接符 39" o:spid="_x0000_s1026" o:spt="20" style="position:absolute;left:329513;top:203226;height:0;width:260411;" filled="f" stroked="t" coordsize="21600,21600" o:gfxdata="UEsDBAoAAAAAAIdO4kAAAAAAAAAAAAAAAAAEAAAAZHJzL1BLAwQUAAAACACHTuJAhz9B0NMAAAAE&#10;AQAADwAAAGRycy9kb3ducmV2LnhtbE2PwU7DMBBE70j8g7VI3KjtVqEQ4vSAFMSFAwVxduMlibDX&#10;ke3Gha/HcIHLSqMZzbxtdidn2YIhTp4UyJUAhtR7M9Gg4PWlu7oBFpMmo60nVPCJEXbt+Vmja+Mz&#10;PeOyTwMrJRRrrWBMaa45j/2ITseVn5GK9+6D06nIMHATdC7lzvK1ENfc6YnKwqhnvB+x/9gfnQKS&#10;6c3mnPISvqqHSlbdo3jqlLq8kOIOWMJT+gvDD35Bh7YwHfyRTGRWQXkk/d7ireVmA+yg4Ha7Bd42&#10;/D98+w1QSwMEFAAAAAgAh07iQKYuam7YAQAAaAMAAA4AAABkcnMvZTJvRG9jLnhtbK1TzY7TMBC+&#10;I/EOlu80f2zERk330NVyWaDSLg8wtZ3GwvFYttukL8ELIHGDE0fuvA3LY2C77bK73BA5jOLMzOfv&#10;+2Yyv5gGRXbCOom6pcUsp0RohlzqTUvf3169eEWJ86A5KNSipXvh6MXi+bP5aBpRYo+KC0sCiHbN&#10;aFrae2+aLHOsFwO4GRqhQ7JDO4APR7vJuIUxoA8qK/O8zka03Fhkwrnw9fKQpIuE33WC+Xdd54Qn&#10;qqWBm0/RpriOMVvModlYML1kRxrwDywGkDpceg91CR7I1sq/oAbJLDrs/IzhkGHXSSaShqCmyJ+o&#10;uenBiKQlmOPMvU3u/8Gyt7uVJZK3tMxrSjQMYUh3n77//Pjl14/PId59+0qq8+jTaFwTypd6ZaNS&#10;Nukbc43sgyMalz3ojUh8b/cmQBSxI3vUEg/OhNvW4xvkoQa2HpNpU2eHCBnsIFNLq/L8rKgo2UdS&#10;VVnWhymJyRMW0mWdvywKSljIpwFm0JwQjHX+tcCBxJeWKqmjf9DA7tr5yAiaU0n8rPFKKpV2QGky&#10;trSuzvLU4FBJHpOxzNnNeqks2UHcovQkeSHzsMziVvPDJUof1UfBB+vWyPcre3IljDOxOa5e3JeH&#10;59T95wdZ/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HP0HQ0wAAAAQBAAAPAAAAAAAAAAEAIAAA&#10;ACIAAABkcnMvZG93bnJldi54bWxQSwECFAAUAAAACACHTuJApi5qbtgBAABoAwAADgAAAAAAAAAB&#10;ACAAAAAiAQAAZHJzL2Uyb0RvYy54bWxQSwUGAAAAAAYABgBZAQAAbAUAAAAA&#10;">
                  <v:fill on="f" focussize="0,0"/>
                  <v:stroke weight="0.5pt" color="#000000" joinstyle="round"/>
                  <v:imagedata o:title=""/>
                  <o:lock v:ext="edit" aspectratio="f"/>
                </v:line>
                <v:rect id="矩形 40" o:spid="_x0000_s1026" o:spt="1" style="position:absolute;left:1197649;top:66933;height:198120;width:110490;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HUM/vb0AQAAtAMAAA4AAABkcnMvZTJvRG9jLnhtbK1TQW7bMBC8&#10;F+gfCN5rSY7hxILlIEjgokDaBkj7AJqiJKISl1jSltzPFOitj+hzin6jS8pKmuRW9EIsucvhzO5w&#10;fTl0LTsodBpMwbNZypkyEkpt6oJ//rR9c8GZ88KUogWjCn5Ujl9uXr9a9zZXc2igLRUyAjEu723B&#10;G+9tniRONqoTbgZWGUpWgJ3wtMU6KVH0hN61yTxNl0kPWFoEqZyj05sxyTcRv6qU9B+ryinP2oIT&#10;Nx9XjOsurMlmLfIahW20PNEQ/8CiE9rQow9QN8ILtkf9AqrTEsFB5WcSugSqSksVNZCaLH2m5r4R&#10;VkUt1BxnH9rk/h+s/HC4Q6bLgs/Tc86M6GhIv7/9+PXzO1vE9vTW5VR1b+8wCHT2FuQXxwxcN8LU&#10;6goR+kaJkkhloZ3Jkwth4+gq2/XvoSRssfcQOzVU2AVA6gEb6G62Ol8uVpwdC75crs7OxtGowTMZ&#10;0+liRQOUlM5WF9k8cktEPsFYdP6tgo6FoOBIk4/PiMOt84GWyKeS8KqBrW7bOP3WPDmgwnASZQTm&#10;wUou98NuoOoQ7qA8kiCE0UxkfgoawK+c9WSkghtyOmftO0MtCZ6bApyC3RQII+liwT1nY3jtR2/u&#10;Leq6IdwsinD2itq21VHII4cTS7JG1HeycfDe3/tY9fjZN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MnwKdMAAAAEAQAADwAAAAAAAAABACAAAAAiAAAAZHJzL2Rvd25yZXYueG1sUEsBAhQAFAAA&#10;AAgAh07iQHUM/vb0AQAAtAMAAA4AAAAAAAAAAQAgAAAAIgEAAGRycy9lMm9Eb2MueG1sUEsFBgAA&#10;AAAGAAYAWQEAAIgFAAAAAA==&#10;">
                  <v:fill on="f" focussize="0,0"/>
                  <v:stroke on="f"/>
                  <v:imagedata o:title=""/>
                  <o:lock v:ext="edit" aspectratio="f"/>
                  <v:textbox inset="0mm,0mm,0mm,0mm" style="mso-fit-shape-to-text:t;">
                    <w:txbxContent>
                      <w:p>
                        <w:r>
                          <w:rPr>
                            <w:i/>
                            <w:iCs/>
                            <w:color w:val="000000"/>
                            <w:kern w:val="0"/>
                            <w:sz w:val="24"/>
                          </w:rPr>
                          <w:t>m</w:t>
                        </w:r>
                      </w:p>
                    </w:txbxContent>
                  </v:textbox>
                </v:rect>
                <v:rect id="矩形 41" o:spid="_x0000_s1026" o:spt="1" style="position:absolute;left:998241;top:66257;height:198120;width:93345;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I2+WznyAQAAsgMAAA4AAABkcnMvZTJvRG9jLnhtbK1TUW4TMRD9&#10;R+IOlv/JZrdtSFZxqqpVEFKBSqUHcLzerMWuxxo72Q2XQeKPQ3AcxDUYe5OWwh/ixxrb4zfz3jwv&#10;L4euZXuN3oAVPJ9MOdNWQWXsVvCHj+tXc858kLaSLVgt+EF7frl6+WLZu1IX0EBbaWQEYn3ZO8Gb&#10;EFyZZV41upN+Ak5buqwBOxloi9usQtkTetdmxXQ6y3rAyiEo7T2d3oyXfJXw61qr8KGuvQ6sFZx6&#10;C2nFtG7imq2WstyidI1RxzbkP3TRSWOp6CPUjQyS7dD8BdUZheChDhMFXQZ1bZROHIhNPv2DzX0j&#10;nU5cSBzvHmXy/w9Wvd/fITOV4MWURmVlR0P6+eXbj+9f2Xke5emdLynr3t1hJOjdLahPnlm4bqTd&#10;6itE6BstK2oq5WfPHsSNp6ds07+DirDlLkBSaqixi4CkARsEXyzmBRVkB8Fns+Li9TgZPQSm4u3Z&#10;2fkFZ4pu88U8L9LgMlmeQBz68EZDx2IgONLcUxG5v/WBSFDqKSXWtLA2bZtm39pnB5QYTxKJ2PfI&#10;Pwyb4SjFBqoD0UEYrUTWp6AB/MxZTzYS3JLPOWvfWhIkOu4U4CnYnAJpFT0UPHA2htdhdObOodk2&#10;hJsnEt5dkWhrk4hEQccejl2SMRK/o4mj837fp6ynr7b6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JTJ8CnTAAAABAEAAA8AAAAAAAAAAQAgAAAAIgAAAGRycy9kb3ducmV2LnhtbFBLAQIUABQAAAAI&#10;AIdO4kCNvls58gEAALIDAAAOAAAAAAAAAAEAIAAAACIBAABkcnMvZTJvRG9jLnhtbFBLBQYAAAAA&#10;BgAGAFkBAACGBQAAAAA=&#10;">
                  <v:fill on="f" focussize="0,0"/>
                  <v:stroke on="f"/>
                  <v:imagedata o:title=""/>
                  <o:lock v:ext="edit" aspectratio="f"/>
                  <v:textbox inset="0mm,0mm,0mm,0mm" style="mso-fit-shape-to-text:t;">
                    <w:txbxContent>
                      <w:p>
                        <w:r>
                          <w:rPr>
                            <w:i/>
                            <w:iCs/>
                            <w:color w:val="000000"/>
                            <w:kern w:val="0"/>
                            <w:sz w:val="24"/>
                          </w:rPr>
                          <w:t>F</w:t>
                        </w:r>
                      </w:p>
                    </w:txbxContent>
                  </v:textbox>
                </v:rect>
                <v:rect id="矩形 42" o:spid="_x0000_s1026" o:spt="1" style="position:absolute;left:1128346;top:105413;height:198120;width:42545;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DUPO0r0AQAAtAMAAA4AAABkcnMvZTJvRG9jLnhtbK1TS27bMBDd&#10;F+gdCO5rfWIHjmA5CBK4KJC2AZIcgKYoi6jEIYa0JfcyBbrrIXqcoNfokLLSpt0V3RBDzvBx3pvH&#10;1eXQteyg0GkwJc9mKWfKSKi02ZX88WHzZsmZ88JUogWjSn5Ujl+uX79a9bZQOTTQVgoZgRhX9Lbk&#10;jfe2SBInG9UJNwOrDCVrwE542uIuqVD0hN61SZ6m50kPWFkEqZyj05sxydcRv66V9B/r2inP2pJT&#10;bz6uGNdtWJP1ShQ7FLbR8tSG+IcuOqENPfoMdSO8YHvUf0F1WiI4qP1MQpdAXWupIgdik6V/sLlv&#10;hFWRC4nj7LNM7v/Byg+HO2S6KnmeXnBmREdD+vHl29P3r2yeB3l66wqqurd3GAg6ewvyk2MGrhth&#10;duoKEfpGiYqaykJ98uJC2Di6yrb9e6gIW+w9RKWGGrsASBqwge5m+fJsfs7ZkeJ0Mc/OxtmowTNJ&#10;+Xm+mC84kyF9sczyOLpEFBOMReffKuhYCEqONPn4jDjcOh/aEsVUEl41sNFtG6ffmhcHVBhOIo3Q&#10;+aiAH7bDSYwtVEcihDCaicxPQQP4mbOejFRyQ07nrH1nSJLguSnAKdhOgTCSLpbcczaG13705t6i&#10;3jWEm0USzl6RbBsdiQRJxx5OXZI1Ir+TjYP3ft/Hql+fbf0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MnwKdMAAAAEAQAADwAAAAAAAAABACAAAAAiAAAAZHJzL2Rvd25yZXYueG1sUEsBAhQAFAAA&#10;AAgAh07iQDUPO0r0AQAAtAMAAA4AAAAAAAAAAQAgAAAAIgEAAGRycy9lMm9Eb2MueG1sUEsFBgAA&#10;AAAGAAYAWQEAAIgFAAAAAA==&#10;">
                  <v:fill on="f" focussize="0,0"/>
                  <v:stroke on="f"/>
                  <v:imagedata o:title=""/>
                  <o:lock v:ext="edit" aspectratio="f"/>
                  <v:textbox inset="0mm,0mm,0mm,0mm" style="mso-fit-shape-to-text:t;">
                    <w:txbxContent>
                      <w:p>
                        <w:r>
                          <w:rPr>
                            <w:color w:val="000000"/>
                            <w:kern w:val="0"/>
                            <w:sz w:val="24"/>
                          </w:rPr>
                          <w:t>/</w:t>
                        </w:r>
                      </w:p>
                    </w:txbxContent>
                  </v:textbox>
                </v:rect>
                <v:rect id="矩形 43" o:spid="_x0000_s1026" o:spt="1" style="position:absolute;left:708629;top:105413;height:198120;width:153035;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BUfrSr1AQAAtAMAAA4AAABkcnMvZTJvRG9jLnhtbK1TUW7UMBD9&#10;R+IOlv/ZJLvdso02W1WtFiEVqFR6AMdxEovEY429myyXQeKPQ3AcxDUYO7sthT/EjzX2jN/Me35e&#10;X459x/YKnQZT8GyWcqaMhEqbpuAPH7evVpw5L0wlOjCq4Afl+OXm5Yv1YHM1hxa6SiEjEOPywRa8&#10;9d7mSeJkq3rhZmCVoWQN2AtPW2ySCsVA6H2XzNP0PBkAK4sglXN0ejMl+Sbi17WS/kNdO+VZV3Ca&#10;zccV41qGNdmsRd6gsK2WxzHEP0zRC22o6SPUjfCC7VD/BdVrieCg9jMJfQJ1raWKHIhNlv7B5r4V&#10;VkUuJI6zjzK5/wcr3+/vkOmq4POM9DGip0f6+eXbj+9f2dkiyDNYl1PVvb3DQNDZW5CfHDNw3QrT&#10;qCtEGFolKhoqC/XJswth4+gqK4d3UBG22HmISo019gGQNGBjwV+nq/P5BWcHgkmXZ1nsLXI1eiYp&#10;nS0X6WLJmQz5i1U2j0+XiPwEY9H5Nwp6FoKCI718bCP2t86HsUR+KgldDWx118XX78yzAyoMJ5FG&#10;mHxSwI/leBSjhOpAhBAmM5H5KWgBP3M2kJEKbsjpnHVvDUkSPHcK8BSUp0AYSRcL7jmbwms/eXNn&#10;UTct4WaRhLNXJNtWRyJB0mmG45RkjcjvaOPgvd/3serps21+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JTJ8CnTAAAABAEAAA8AAAAAAAAAAQAgAAAAIgAAAGRycy9kb3ducmV2LnhtbFBLAQIUABQA&#10;AAAIAIdO4kAVH60q9QEAALQDAAAOAAAAAAAAAAEAIAAAACIBAABkcnMvZTJvRG9jLnhtbFBLBQYA&#10;AAAABgAGAFkBAACJBQAAAAA=&#10;">
                  <v:fill on="f" focussize="0,0"/>
                  <v:stroke on="f"/>
                  <v:imagedata o:title=""/>
                  <o:lock v:ext="edit" aspectratio="f"/>
                  <v:textbox inset="0mm,0mm,0mm,0mm" style="mso-fit-shape-to-text:t;">
                    <w:txbxContent>
                      <w:p>
                        <w:r>
                          <w:rPr>
                            <w:color w:val="000000"/>
                            <w:kern w:val="0"/>
                            <w:sz w:val="24"/>
                          </w:rPr>
                          <w:t>10</w:t>
                        </w:r>
                      </w:p>
                    </w:txbxContent>
                  </v:textbox>
                </v:rect>
                <v:rect id="矩形 44" o:spid="_x0000_s1026" o:spt="1" style="position:absolute;left:335214;top:224728;height:198120;width:153035;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IpaExr1AQAAtAMAAA4AAABkcnMvZTJvRG9jLnhtbK1TUY7TMBD9&#10;R+IOlv9pmrSFbtR0tdpVEdICKy17AMdxEovEY43dJuUySPxxCI6DuAZjp11Y+EP8WGN78vzem5fN&#10;5dh37KDQaTAFT2dzzpSRUGnTFPzhw+7FmjPnhalEB0YV/Kgcv9w+f7YZbK4yaKGrFDICMS4fbMFb&#10;722eJE62qhduBlYZuqwBe+Fpi01SoRgIve+SbD5/mQyAlUWQyjk6vZku+Tbi17WS/n1dO+VZV3Di&#10;5uOKcS3Dmmw3Im9Q2FbLEw3xDyx6oQ09+gh1I7xge9R/QfVaIjio/UxCn0Bda6miBlKTzv9Qc98K&#10;q6IWMsfZR5vc/4OV7w53yHRV8CxNOTOipyH9+Pz1+7cvbLkM9gzW5dR1b+8wCHT2FuRHxwxct8I0&#10;6goRhlaJikiloT958kHYOPqUlcNbqAhb7D1Ep8Ya+wBIHrCx4IvFKkuXnB2JSbZ8la2n0ajRM0nX&#10;6WoxX6w4k3SfXqzTLI4uEfkZxqLzrxX0LBQFR5p8fEYcbp0PtER+bgmvGtjprovT78yTA2oMJ1FG&#10;YD454MdyPJlRQnUkQQhTmCj8VLSAnzgbKEgFN5R0zro3hiwJmTsXeC7KcyGMpA8L7jmbyms/ZXNv&#10;UTct4aZRhLNXZNtORyHB0onDiSVFI+o7xThk7/d97Pr1s21/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JTJ8CnTAAAABAEAAA8AAAAAAAAAAQAgAAAAIgAAAGRycy9kb3ducmV2LnhtbFBLAQIUABQA&#10;AAAIAIdO4kCKWhMa9QEAALQDAAAOAAAAAAAAAAEAIAAAACIBAABkcnMvZTJvRG9jLnhtbFBLBQYA&#10;AAAABgAGAFkBAACJBQAAAAA=&#10;">
                  <v:fill on="f" focussize="0,0"/>
                  <v:stroke on="f"/>
                  <v:imagedata o:title=""/>
                  <o:lock v:ext="edit" aspectratio="f"/>
                  <v:textbox inset="0mm,0mm,0mm,0mm" style="mso-fit-shape-to-text:t;">
                    <w:txbxContent>
                      <w:p>
                        <w:r>
                          <w:rPr>
                            <w:color w:val="000000"/>
                            <w:kern w:val="0"/>
                            <w:sz w:val="24"/>
                          </w:rPr>
                          <w:t>36</w:t>
                        </w:r>
                      </w:p>
                    </w:txbxContent>
                  </v:textbox>
                </v:rect>
                <v:rect id="矩形 45" o:spid="_x0000_s1026" o:spt="1" style="position:absolute;left:421617;top:9492;height:198120;width:76835;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EnBqnfzAQAAsQMAAA4AAABkcnMvZTJvRG9jLnhtbK1TUY7TMBD9&#10;R+IOlv9pmtDttlHd1WpXRUgLrLRwANdxGovEY43dJuUySPxxCI6DuAZjp11Y+EP8WGPP+Hnem+fV&#10;1dC17KDRG7CC55MpZ9oqqIzdCf7h/ebFgjMfpK1kC1YLftSeX62fP1v1rtQFNNBWGhmBWF/2TvAm&#10;BFdmmVeN7qSfgNOWkjVgJwNtcZdVKHtC79qsmE7nWQ9YOQSlvafT2zHJ1wm/rrUK7+ra68Bawam3&#10;kFZM6zau2Xolyx1K1xh1akP+QxedNJYefYS6lUGyPZq/oDqjEDzUYaKgy6CujdKJA7HJp3+weWik&#10;04kLiePdo0z+/8Gqt4d7ZKYSvMgLzqzsaEg/Pn/9/u0Lm11EeXrnS6p6cPcYCXp3B+qjZxZuGml3&#10;+hoR+kbLiprKY3325ELceLrKtv0bqAhb7gMkpYYauwhIGrBB8FmRz/NLzo6CL2fLYhyMHgJTlLyc&#10;L15ecKYomS8XeZHmlsnyjOHQh1caOhYDwZHGnt6QhzsfYk+yPJfEJy1sTNum0bf2yQEVxpPEIbY9&#10;0g/DdjgpsYXqSGwQRieR8yloAD9x1pOLBLdkc87a15b0iIY7B3gOtudAWkUXBQ+cjeFNGI25d2h2&#10;DeHmiYR316TZxiQiUc+xh1OX5IvE7+ThaLzf96nq109b/w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UyfAp0wAAAAQBAAAPAAAAAAAAAAEAIAAAACIAAABkcnMvZG93bnJldi54bWxQSwECFAAUAAAA&#10;CACHTuJAScGqd/MBAACxAwAADgAAAAAAAAABACAAAAAiAQAAZHJzL2Uyb0RvYy54bWxQSwUGAAAA&#10;AAYABgBZAQAAhwUAAAAA&#10;">
                  <v:fill on="f" focussize="0,0"/>
                  <v:stroke on="f"/>
                  <v:imagedata o:title=""/>
                  <o:lock v:ext="edit" aspectratio="f"/>
                  <v:textbox inset="0mm,0mm,0mm,0mm" style="mso-fit-shape-to-text:t;">
                    <w:txbxContent>
                      <w:p>
                        <w:r>
                          <w:rPr>
                            <w:color w:val="000000"/>
                            <w:kern w:val="0"/>
                            <w:sz w:val="24"/>
                          </w:rPr>
                          <w:t>1</w:t>
                        </w:r>
                      </w:p>
                    </w:txbxContent>
                  </v:textbox>
                </v:rect>
                <v:rect id="矩形 46" o:spid="_x0000_s1026" o:spt="1" style="position:absolute;left:924538;top:93312;height:198120;width:45085;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EyWF+fzAQAAsgMAAA4AAABkcnMvZTJvRG9jLnhtbK1TUY7TMBD9&#10;R+IOlv9pmrRddaOmq9WuipAWWGnhAI7jJBaJxxq7TcplkPjjEBxnxTUYO+3Cwh/ixxp7xs/z3jxv&#10;rsa+YweFToMpeDqbc6aMhEqbpuAfP+xerTlzXphKdGBUwY/K8avtyxebweYqgxa6SiEjEOPywRa8&#10;9d7mSeJkq3rhZmCVoWQN2AtPW2ySCsVA6H2XZPP5RTIAVhZBKufo9HZK8m3Er2sl/fu6dsqzruDU&#10;m48rxrUMa7LdiLxBYVstT22If+iiF9rQo09Qt8ILtkf9F1SvJYKD2s8k9AnUtZYqciA26fwPNg+t&#10;sCpyIXGcfZLJ/T9Y+e5wj0xXBc/SBWdG9DSkH1++PX7/ypYXQZ7BupyqHuw9BoLO3oH85JiBm1aY&#10;Rl0jwtAqUVFTaahPnl0IG0dXWTm8hYqwxd5DVGqssQ+ApAEbC36ZLVcLMsuRwsUizabJqNEzSdnl&#10;ar5ecSYpm16u0ywOLhH5GcSi868V9CwEBUeae3xEHO6cD02J/FwS3jSw010XZ9+ZZwdUGE4iidD3&#10;xN+P5XiSooTqSHQQJiuR9SloAT9zNpCNCm7I55x1bwwJEhx3DvAclOdAGEkXC+45m8IbPzlzb1E3&#10;LeGmkYSz1yTaTkciQdCph1OXZIzI72Ti4Lzf97Hq11fb/g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UyfAp0wAAAAQBAAAPAAAAAAAAAAEAIAAAACIAAABkcnMvZG93bnJldi54bWxQSwECFAAUAAAA&#10;CACHTuJATJYX5/MBAACyAwAADgAAAAAAAAABACAAAAAiAQAAZHJzL2Uyb0RvYy54bWxQSwUGAAAA&#10;AAYABgBZAQAAhwUAAAAA&#10;">
                  <v:fill on="f" focussize="0,0"/>
                  <v:stroke on="f"/>
                  <v:imagedata o:title=""/>
                  <o:lock v:ext="edit" aspectratio="f"/>
                  <v:textbox inset="0mm,0mm,0mm,0mm" style="mso-fit-shape-to-text:t;">
                    <w:txbxContent>
                      <w:p>
                        <w:r>
                          <w:rPr>
                            <w:color w:val="000000"/>
                            <w:kern w:val="0"/>
                            <w:sz w:val="14"/>
                            <w:szCs w:val="14"/>
                          </w:rPr>
                          <w:t>9</w:t>
                        </w:r>
                      </w:p>
                    </w:txbxContent>
                  </v:textbox>
                </v:rect>
                <v:rect id="矩形 47" o:spid="_x0000_s1026" o:spt="1" style="position:absolute;left:99604;top:199326;height:198120;width:45085;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I3X7H3xAQAAsgMAAA4AAABkcnMvZTJvRG9jLnhtbK1TUY7TMBD9&#10;R+IOlv9pktItbdR0tdpVEdICKy0cwHGcxCLxWGO3SbkMEn8cYo+DuAZjp11Y+EP8WGN78vzem5fN&#10;5dh37KDQaTAFz2YpZ8pIqLRpCv7xw+7FijPnhalEB0YV/Kgcv9w+f7YZbK7m0EJXKWQEYlw+2IK3&#10;3ts8SZxsVS/cDKwydFkD9sLTFpukQjEQet8l8zRdJgNgZRGkco5Ob6ZLvo34da2kf1/XTnnWFZy4&#10;+bhiXMuwJtuNyBsUttXyREP8A4teaEOPPkLdCC/YHvVfUL2WCA5qP5PQJ1DXWqqogdRk6R9q7lth&#10;VdRC5jj7aJP7f7Dy3eEOma4KPs8WnBnR05B+fPn2/eErW7wK9gzW5dR1b+8wCHT2FuQnxwxct8I0&#10;6goRhlaJikhloT958kHYOPqUlcNbqAhb7D1Ep8Ya+wBIHrCx4Ov1MiUCR0JZr1/Ol9Nk1OiZpNvF&#10;Rbq64EzG61U2j4NLRH4Gsej8awU9C0XBkeYeHxGHW+cDKZGfW8KbBna66+LsO/PkgBrDSRQReE/6&#10;/ViOJytKqI4kB2GKEkWfihbwM2cDxajghnLOWffGkCEhcecCz0V5LoSR9GHBPWdTee2nZO4t6qYl&#10;3CyKcPaKTNvpKCQYOnE4saRgRH2nEIfk/b6PXb9+te1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MnwKdMAAAAEAQAADwAAAAAAAAABACAAAAAiAAAAZHJzL2Rvd25yZXYueG1sUEsBAhQAFAAAAAgA&#10;h07iQI3X7H3xAQAAsgMAAA4AAAAAAAAAAQAgAAAAIgEAAGRycy9lMm9Eb2MueG1sUEsFBgAAAAAG&#10;AAYAWQEAAIUFAAAAAA==&#10;">
                  <v:fill on="f" focussize="0,0"/>
                  <v:stroke on="f"/>
                  <v:imagedata o:title=""/>
                  <o:lock v:ext="edit" aspectratio="f"/>
                  <v:textbox inset="0mm,0mm,0mm,0mm" style="mso-fit-shape-to-text:t;">
                    <w:txbxContent>
                      <w:p>
                        <w:r>
                          <w:rPr>
                            <w:color w:val="000000"/>
                            <w:kern w:val="0"/>
                            <w:sz w:val="14"/>
                            <w:szCs w:val="14"/>
                          </w:rPr>
                          <w:t>0</w:t>
                        </w:r>
                      </w:p>
                    </w:txbxContent>
                  </v:textbox>
                </v:rect>
                <v:rect id="矩形 48" o:spid="_x0000_s1026" o:spt="1" style="position:absolute;left:871235;top:83811;height:198120;width:48895;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Hla+r/xAQAAsgMAAA4AAABkcnMvZTJvRG9jLnhtbK1TUY7TMBD9&#10;R+IOlv9pmu4C2ajparWrIqQFVlo4wNRxGovEY43dJuUySPxxCI6DuAZjp11Y+EP8WGPP5Pm955fl&#10;5dh3Yq/JG7SVzGdzKbRVWBu7reSH9+tnhRQ+gK2hQ6sredBeXq6ePlkOrtQLbLGrNQkGsb4cXCXb&#10;EFyZZV61ugc/Q6ctNxukHgJvaZvVBAOj9122mM9fZANS7QiV9p5Pb6amXCX8ptEqvGsar4PoKsnc&#10;QloprZu4ZqsllFsC1xp1pAH/wKIHY/nSB6gbCCB2ZP6C6o0i9NiEmcI+w6YxSicNrCaf/6HmvgWn&#10;kxY2x7sHm/z/g1Vv93ckTF3JRf5cCgs9P9KPz1+/f/sizotoz+B8yVP37o6iQO9uUX30wuJ1C3ar&#10;r4hwaDXUTCqP89mjD+LG86diM7zBmrFhFzA5NTbUR0D2QIyVLF7mizNmcODyrMgTFJR6DEJx97wo&#10;LripuJtfFPkiPVwG5QnEkQ+vNPYiFpUkfvd0CexvfYikoDyNxDstrk3Xpbfv7KMDHownSUTkPekP&#10;42Y8WrHB+sByCKcocfS5aJE+STFwjCppOedSdK8tGxITdyroVGxOBVjFH1YySDGV12FK5s6R2baM&#10;mycR3l2xaWuThERDJw5HlhyMpO8Y4pi83/dp6tevtvo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MnwKdMAAAAEAQAADwAAAAAAAAABACAAAAAiAAAAZHJzL2Rvd25yZXYueG1sUEsBAhQAFAAAAAgA&#10;h07iQHla+r/xAQAAsgMAAA4AAAAAAAAAAQAgAAAAIgEAAGRycy9lMm9Eb2MueG1sUEsFBgAAAAAG&#10;AAYAWQEAAIUFAAAAAA==&#10;">
                  <v:fill on="f" focussize="0,0"/>
                  <v:stroke on="f"/>
                  <v:imagedata o:title=""/>
                  <o:lock v:ext="edit" aspectratio="f"/>
                  <v:textbox inset="0mm,0mm,0mm,0mm" style="mso-fit-shape-to-text:t;">
                    <w:txbxContent>
                      <w:p>
                        <w:r>
                          <w:rPr>
                            <w:rFonts w:ascii="Symbol" w:hAnsi="Symbol" w:cs="Symbol"/>
                            <w:color w:val="000000"/>
                            <w:kern w:val="0"/>
                            <w:sz w:val="14"/>
                            <w:szCs w:val="14"/>
                          </w:rPr>
                          <w:t></w:t>
                        </w:r>
                      </w:p>
                    </w:txbxContent>
                  </v:textbox>
                </v:rect>
                <v:rect id="矩形 49" o:spid="_x0000_s1026" o:spt="1" style="position:absolute;left:615925;top:88211;height:198125;width:83203;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CJ6pQLzAQAAsgMAAA4AAABkcnMvZTJvRG9jLnhtbK1TQW7bMBC8&#10;F+gfCN5rWUpj2ILpIEjgokDaBkjyAJqiLKISl1jSltzPFOitj+hzgn6jS8pOmvZW9EIsd5ezO6PR&#10;8mLoWrbX6A1YwfPJlDNtFVTGbgV/uF+/mXPmg7SVbMFqwQ/a84vV61fL3pW6gAbaSiMjEOvL3gne&#10;hODKLPOq0Z30E3DaUrEG7GSgK26zCmVP6F2bFdPpLOsBK4egtPeUvR6LfJXw61qr8KmuvQ6sFZx2&#10;C+nEdG7ima2WstyidI1RxzXkP2zRSWNp6BPUtQyS7dD8BdUZheChDhMFXQZ1bZROHIhNPv2DzV0j&#10;nU5cSBzvnmTy/w9WfdzfIjOV4EU+48zKjj7Sz6/fH398Y28XUZ7e+ZK67twtRoLe3YD67JmFq0ba&#10;rb5EhL7RsqKl8tifvXgQL56esk3/ASrClrsASamhxi4CkgZsEHyWny+Kc84Ogs/nRZ6gZKmHwBRV&#10;52fF9IwzRdV8Mc+pMU6S5QnEoQ/vNHQsBoIjffc0RO5vfBhbTy1xpoW1aVvKy7K1LxKEGTOJRNx7&#10;5B+GzUDdkcwGqgPRQRitRNanoAH8wllPNhLcks85a99bEiQ67hTgKdicAmkVPRQ8cDaGV2F05s6h&#10;2TaEmycS3l2SaGuTiDzvcNySjJGkOJo4Ou/3e+p6/tVW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UyfAp0wAAAAQBAAAPAAAAAAAAAAEAIAAAACIAAABkcnMvZG93bnJldi54bWxQSwECFAAUAAAA&#10;CACHTuJAInqlAvMBAACyAwAADgAAAAAAAAABACAAAAAiAQAAZHJzL2Uyb0RvYy54bWxQSwUGAAAA&#10;AAYABgBZAQAAhwUAAAAA&#10;">
                  <v:fill on="f" focussize="0,0"/>
                  <v:stroke on="f"/>
                  <v:imagedata o:title=""/>
                  <o:lock v:ext="edit" aspectratio="f"/>
                  <v:textbox inset="0mm,0mm,0mm,0mm" style="mso-fit-shape-to-text:t;">
                    <w:txbxContent>
                      <w:p>
                        <w:r>
                          <w:rPr>
                            <w:rFonts w:ascii="Symbol" w:hAnsi="Symbol" w:cs="Symbol"/>
                            <w:color w:val="000000"/>
                            <w:kern w:val="0"/>
                            <w:sz w:val="24"/>
                          </w:rPr>
                          <w:t></w:t>
                        </w:r>
                      </w:p>
                    </w:txbxContent>
                  </v:textbox>
                </v:rect>
                <v:rect id="矩形 50" o:spid="_x0000_s1026" o:spt="1" style="position:absolute;left:203808;top:88211;height:198125;width:83203;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GnBR7HwAQAAsgMAAA4AAABkcnMvZTJvRG9jLnhtbK1TUW7UMBD9&#10;R+IOlv/ZJFsVhWizVdVqEVKBSoUDzDrOxiLxWGPvJstlkPjjEBwHcQ3G3t2W0r+KH2vsGb95b/y8&#10;uJiGXuw0eYO2lsUsl0JbhY2xm1p+/rR6VUrhA9gGerS6lnvt5cXy5YvF6Co9xw77RpNgEOur0dWy&#10;C8FVWeZVpwfwM3TacrJFGiDwljZZQzAy+tBn8zx/nY1IjSNU2ns+vT4k5TLht61W4WPbeh1EX0vm&#10;FtJKaV3HNVsuoNoQuM6oIw14BosBjOWm91DXEEBsyTyBGowi9NiGmcIhw7Y1SicNrKbI/1Fz14HT&#10;SQsPx7v7Mfn/B6s+7G5JmKaW84KfysLAj/T7249fP7+L8zSe0fmKq+7cLUWB3t2g+uKFxasO7EZf&#10;EuHYaWiYVBHHmT26EDeer4r1+B4bxoZtwDSpqaUhAvIMxMTt87MyZwb7WpblvEhQUOkpCMXZ8ozz&#10;UijOFm/KYn6eOkF1AnHkw1uNg4hBLYnfPTWB3Y0PkRRUp5LY0+LK9H16+94+OuDCeJJERN7RSL4K&#10;03ri6hiusdmzHMKDldj6HHRIX6UY2Ua1tOxzKfp3lgcSHXcK6BSsTwFYxRdrGaQ4hFfh4MytI7Pp&#10;GLdIIry75KGtTBLywOHIko2R9B1NHJ339z5VPXy15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U&#10;yfAp0wAAAAQBAAAPAAAAAAAAAAEAIAAAACIAAABkcnMvZG93bnJldi54bWxQSwECFAAUAAAACACH&#10;TuJAacFHsfABAACyAwAADgAAAAAAAAABACAAAAAiAQAAZHJzL2Uyb0RvYy54bWxQSwUGAAAAAAYA&#10;BgBZAQAAhAUAAAAA&#10;">
                  <v:fill on="f" focussize="0,0"/>
                  <v:stroke on="f"/>
                  <v:imagedata o:title=""/>
                  <o:lock v:ext="edit" aspectratio="f"/>
                  <v:textbox inset="0mm,0mm,0mm,0mm" style="mso-fit-shape-to-text:t;">
                    <w:txbxContent>
                      <w:p>
                        <w:r>
                          <w:rPr>
                            <w:rFonts w:ascii="Symbol" w:hAnsi="Symbol" w:cs="Symbol"/>
                            <w:color w:val="000000"/>
                            <w:kern w:val="0"/>
                            <w:sz w:val="24"/>
                          </w:rPr>
                          <w:t></w:t>
                        </w:r>
                      </w:p>
                    </w:txbxContent>
                  </v:textbox>
                </v:rect>
                <v:rect id="矩形 51" o:spid="_x0000_s1026" o:spt="1" style="position:absolute;left:477519;top:135283;height:198120;width:83820;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Bs6hDrxAQAAswMAAA4AAABkcnMvZTJvRG9jLnhtbK1T0W7TMBR9&#10;R+IfLL/TNCllXdR0mjYVIQ2YtO0DXMdJLBJf69ptUn4GiTc+Yp+D+A2unWYweEO8WNf2zfE5556s&#10;L4auZQeFToMpeDqbc6aMhFKbuuAP99tXK86cF6YULRhV8KNy/GLz8sW6t7nKoIG2VMgIxLi8twVv&#10;vLd5kjjZqE64GVhl6LIC7ISnLdZJiaIn9K5Nsvn8TdIDlhZBKufo9Hq85JuIX1VK+o9V5ZRnbcGJ&#10;m48rxnUX1mSzFnmNwjZanmiIf2DRCW3o0Seoa+EF26P+C6rTEsFB5WcSugSqSksVNZCadP6HmrtG&#10;WBW1kDnOPtnk/h+s/HC4RabLgmfpOWdGdDSkH1++fX/8ypZpsKe3LqeuO3uLQaCzNyA/OWbgqhGm&#10;VpeI0DdKlEQq9ifPPggbR5+yXf8eSsIWew/RqaHCLgCSB2wo+Ouzs2VgcCSYxTJbLcbRqMEzSder&#10;xSqj+clwfb5KqSZqicgnFIvOv1XQsVAUHGnw8RVxuHF+bJ1awqMGtrpt4/Bb8+yAMMNJVBGIjwb4&#10;YTecvNhBeSQ9CGOWKPtUNICfOespRwU3FHTO2neGHAmRmwqcit1UCCPpw4J7zsbyyo/R3FvUdUO4&#10;aRTh7CW5ttVRSHB05HBiScmIVpxSHKL3+z52/frXNj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MnwKdMAAAAEAQAADwAAAAAAAAABACAAAAAiAAAAZHJzL2Rvd25yZXYueG1sUEsBAhQAFAAAAAgA&#10;h07iQBs6hDrxAQAAswMAAA4AAAAAAAAAAQAgAAAAIgEAAGRycy9lMm9Eb2MueG1sUEsFBgAAAAAG&#10;AAYAWQEAAIUFAAAAAA==&#10;">
                  <v:fill on="f" focussize="0,0"/>
                  <v:stroke on="f"/>
                  <v:imagedata o:title=""/>
                  <o:lock v:ext="edit" aspectratio="f"/>
                  <v:textbox inset="0mm,0mm,0mm,0mm" style="mso-fit-shape-to-text:t;">
                    <w:txbxContent>
                      <w:p>
                        <w:r>
                          <w:rPr>
                            <w:rFonts w:ascii="Symbol" w:hAnsi="Symbol" w:cs="Symbol"/>
                            <w:i/>
                            <w:iCs/>
                            <w:color w:val="000000"/>
                            <w:kern w:val="0"/>
                            <w:sz w:val="24"/>
                          </w:rPr>
                          <w:t></w:t>
                        </w:r>
                      </w:p>
                    </w:txbxContent>
                  </v:textbox>
                </v:rect>
                <v:rect id="矩形 52" o:spid="_x0000_s1026" o:spt="1" style="position:absolute;left:15801;top:57372;height:198120;width:67310;mso-wrap-style:none;" filled="f" stroked="f" coordsize="21600,21600" o:gfxdata="UEsDBAoAAAAAAIdO4kAAAAAAAAAAAAAAAAAEAAAAZHJzL1BLAwQUAAAACACHTuJAlMnwKdMAAAAE&#10;AQAADwAAAGRycy9kb3ducmV2LnhtbE2PzW7CMBCE75X6DtYicSt2glQgxOFQCamteiHwACbe/Ah7&#10;HdmGwNvX7aW9rDSa0cy35e5uDbuhD4MjCdlCAENqnB6ok3A67l/WwEJUpJVxhBIeGGBXPT+VqtBu&#10;ogPe6tixVEKhUBL6GMeC89D0aFVYuBEpea3zVsUkfce1V1Mqt4bnQrxyqwZKC70a8a3H5lJfrQR+&#10;rPfTujZeuM+8/TIf74cWnZTzWSa2wCLe418YfvATOlSJ6eyupAMzEtIj8fcmL8+WS2BnCZvVCnhV&#10;8v/w1TdQSwMEFAAAAAgAh07iQCGn5/zxAQAAsQMAAA4AAABkcnMvZTJvRG9jLnhtbK1T0W7TMBR9&#10;R+IfLL/TNJ26jqjpNG0qQhowafABt47TWCS+1rXbpPwMEm98BJ8z8RtcO+3G4A3xYl3b1+eec3Ky&#10;vBy6Vuw1eYO2lPlkKoW2Citjt6X89HH96kIKH8BW0KLVpTxoLy9XL18se1foGTbYVpoEg1hf9K6U&#10;TQiuyDKvGt2Bn6DTli9rpA4Cb2mbVQQ9o3dtNptOz7MeqXKESnvPpzfjpVwl/LrWKnyoa6+DaEvJ&#10;3EJaKa2buGarJRRbAtcYdaQB/8CiA2N56CPUDQQQOzJ/QXVGEXqsw0Rhl2FdG6WTBlaTT/9Qc9+A&#10;00kLm+Pdo03+/8Gq9/s7EqYq5WzG/ljo+CP9/Pr94cc3MZ9Fe3rnC+66d3cUBXp3i+qzFxavG7Bb&#10;fUWEfaOhYlJ57M+ePYgbz0/Fpn+HFWPDLmByaqipi4DsgRj47fximktxKOV8cbZIk6HQQxCKL88X&#10;ZzmzU3ybv77ImWkcBMUJw5EPbzR2IhalJP7saQbsb30YW08tcaTFtWlbPoeitc8OGDOeJA2R9ig/&#10;DJuBu6OWDVYHVkM4JomTz0WD9EWKnlNUSssxl6J9a9mPGLhTQadicyrAKn5YyiDFWF6HMZg7R2bb&#10;MG6eRHh3xZ6tTRLyxOHIknORrDhmOAbv933qevrTVr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MnwKdMAAAAEAQAADwAAAAAAAAABACAAAAAiAAAAZHJzL2Rvd25yZXYueG1sUEsBAhQAFAAAAAgA&#10;h07iQCGn5/zxAQAAsQMAAA4AAAAAAAAAAQAgAAAAIgEAAGRycy9lMm9Eb2MueG1sUEsFBgAAAAAG&#10;AAYAWQEAAIUFAAAAAA==&#10;">
                  <v:fill on="f" focussize="0,0"/>
                  <v:stroke on="f"/>
                  <v:imagedata o:title=""/>
                  <o:lock v:ext="edit" aspectratio="f"/>
                  <v:textbox inset="0mm,0mm,0mm,0mm" style="mso-fit-shape-to-text:t;">
                    <w:txbxContent>
                      <w:p>
                        <w:r>
                          <w:rPr>
                            <w:rFonts w:ascii="Symbol" w:hAnsi="Symbol" w:cs="Symbol"/>
                            <w:i/>
                            <w:iCs/>
                            <w:color w:val="000000"/>
                            <w:kern w:val="0"/>
                            <w:sz w:val="24"/>
                          </w:rPr>
                          <w:t></w:t>
                        </w:r>
                      </w:p>
                    </w:txbxContent>
                  </v:textbox>
                </v:rect>
                <w10:wrap type="none"/>
                <w10:anchorlock/>
              </v:group>
            </w:pict>
          </mc:Fallback>
        </mc:AlternateContent>
      </w:r>
      <w:r>
        <w:rPr>
          <w:rFonts w:cs="Times New Roman"/>
          <w:szCs w:val="21"/>
        </w:rPr>
        <w:t>；</w:t>
      </w:r>
    </w:p>
    <w:p>
      <w:pPr>
        <w:snapToGrid w:val="0"/>
        <w:spacing w:line="360" w:lineRule="auto"/>
        <w:ind w:firstLine="420" w:firstLineChars="200"/>
        <w:rPr>
          <w:rFonts w:cs="Times New Roman"/>
          <w:szCs w:val="21"/>
        </w:rPr>
      </w:pPr>
      <w:r>
        <w:rPr>
          <w:rFonts w:cs="Times New Roman"/>
          <w:i/>
          <w:iCs/>
          <w:szCs w:val="21"/>
        </w:rPr>
        <w:t>R</w:t>
      </w:r>
      <w:r>
        <w:rPr>
          <w:rFonts w:cs="Times New Roman"/>
          <w:i/>
          <w:iCs/>
          <w:szCs w:val="21"/>
          <w:vertAlign w:val="subscript"/>
        </w:rPr>
        <w:t>i</w:t>
      </w:r>
      <w:r>
        <w:rPr>
          <w:rFonts w:cs="Times New Roman"/>
          <w:szCs w:val="21"/>
        </w:rPr>
        <w:t>—各导线半径；</w:t>
      </w:r>
    </w:p>
    <w:p>
      <w:pPr>
        <w:snapToGrid w:val="0"/>
        <w:spacing w:line="360" w:lineRule="auto"/>
        <w:ind w:firstLine="420" w:firstLineChars="200"/>
        <w:rPr>
          <w:rFonts w:cs="Times New Roman"/>
          <w:szCs w:val="21"/>
        </w:rPr>
      </w:pPr>
      <w:r>
        <w:rPr>
          <w:rFonts w:cs="Times New Roman"/>
          <w:i/>
          <w:iCs/>
          <w:szCs w:val="21"/>
        </w:rPr>
        <w:t>h</w:t>
      </w:r>
      <w:r>
        <w:rPr>
          <w:rFonts w:cs="Times New Roman"/>
          <w:i/>
          <w:iCs/>
          <w:szCs w:val="21"/>
          <w:vertAlign w:val="subscript"/>
        </w:rPr>
        <w:t>i</w:t>
      </w:r>
      <w:r>
        <w:rPr>
          <w:rFonts w:cs="Times New Roman"/>
          <w:szCs w:val="21"/>
        </w:rPr>
        <w:t>—各导线离地面垂直距离；</w:t>
      </w:r>
    </w:p>
    <w:p>
      <w:pPr>
        <w:snapToGrid w:val="0"/>
        <w:spacing w:line="360" w:lineRule="auto"/>
        <w:ind w:firstLine="420" w:firstLineChars="200"/>
        <w:rPr>
          <w:rFonts w:cs="Times New Roman"/>
          <w:szCs w:val="21"/>
        </w:rPr>
      </w:pPr>
      <w:r>
        <w:rPr>
          <w:rFonts w:cs="Times New Roman"/>
          <w:i/>
          <w:iCs/>
          <w:szCs w:val="21"/>
        </w:rPr>
        <w:t>L</w:t>
      </w:r>
      <w:r>
        <w:rPr>
          <w:rFonts w:cs="Times New Roman"/>
          <w:i/>
          <w:iCs/>
          <w:szCs w:val="21"/>
          <w:vertAlign w:val="subscript"/>
        </w:rPr>
        <w:t>ij</w:t>
      </w:r>
      <w:r>
        <w:rPr>
          <w:rFonts w:cs="Times New Roman"/>
          <w:szCs w:val="21"/>
        </w:rPr>
        <w:t>—各导线间的距离；</w:t>
      </w:r>
    </w:p>
    <w:p>
      <w:pPr>
        <w:snapToGrid w:val="0"/>
        <w:spacing w:line="360" w:lineRule="auto"/>
        <w:ind w:firstLine="420" w:firstLineChars="200"/>
        <w:rPr>
          <w:rFonts w:cs="Times New Roman"/>
          <w:szCs w:val="21"/>
        </w:rPr>
      </w:pPr>
      <w:r>
        <w:rPr>
          <w:rFonts w:cs="Times New Roman"/>
          <w:position w:val="-14"/>
          <w:szCs w:val="21"/>
        </w:rPr>
        <w:drawing>
          <wp:inline distT="0" distB="0" distL="0" distR="0">
            <wp:extent cx="243205" cy="243205"/>
            <wp:effectExtent l="0" t="0" r="4445" b="444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43205" cy="243205"/>
                    </a:xfrm>
                    <a:prstGeom prst="rect">
                      <a:avLst/>
                    </a:prstGeom>
                    <a:noFill/>
                    <a:ln>
                      <a:noFill/>
                    </a:ln>
                  </pic:spPr>
                </pic:pic>
              </a:graphicData>
            </a:graphic>
          </wp:inline>
        </w:drawing>
      </w:r>
      <w:r>
        <w:rPr>
          <w:rFonts w:cs="Times New Roman"/>
          <w:szCs w:val="21"/>
        </w:rPr>
        <w:t>—各导线和其对地的镜像导线间的距离。</w:t>
      </w:r>
    </w:p>
    <w:p>
      <w:pPr>
        <w:snapToGrid w:val="0"/>
        <w:spacing w:line="360" w:lineRule="auto"/>
        <w:ind w:firstLine="480"/>
        <w:rPr>
          <w:rFonts w:cs="Times New Roman"/>
          <w:szCs w:val="21"/>
        </w:rPr>
      </w:pPr>
      <w:r>
        <w:rPr>
          <w:rFonts w:cs="Times New Roman"/>
          <w:szCs w:val="21"/>
        </w:rPr>
        <w:t>对于分裂导线可用等效单根导线半径代入，则上式中</w:t>
      </w:r>
      <w:r>
        <w:rPr>
          <w:rFonts w:cs="Times New Roman"/>
          <w:i/>
          <w:iCs/>
          <w:szCs w:val="21"/>
        </w:rPr>
        <w:t>R</w:t>
      </w:r>
      <w:r>
        <w:rPr>
          <w:rFonts w:cs="Times New Roman"/>
          <w:i/>
          <w:iCs/>
          <w:szCs w:val="21"/>
          <w:vertAlign w:val="subscript"/>
        </w:rPr>
        <w:t>i</w:t>
      </w:r>
      <w:r>
        <w:rPr>
          <w:rFonts w:cs="Times New Roman"/>
          <w:szCs w:val="21"/>
        </w:rPr>
        <w:t>的计算式为：</w:t>
      </w:r>
    </w:p>
    <w:p>
      <w:pPr>
        <w:snapToGrid w:val="0"/>
        <w:spacing w:line="360" w:lineRule="auto"/>
        <w:jc w:val="right"/>
        <w:rPr>
          <w:rFonts w:cs="Times New Roman"/>
          <w:szCs w:val="21"/>
        </w:rPr>
      </w:pPr>
      <w:r>
        <w:rPr>
          <w:rFonts w:cs="Times New Roman"/>
          <w:position w:val="-26"/>
          <w:szCs w:val="21"/>
        </w:rPr>
        <w:drawing>
          <wp:inline distT="0" distB="0" distL="0" distR="0">
            <wp:extent cx="750570" cy="44386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750570" cy="44386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(3)</w:t>
      </w:r>
    </w:p>
    <w:p>
      <w:pPr>
        <w:snapToGrid w:val="0"/>
        <w:spacing w:line="360" w:lineRule="auto"/>
        <w:ind w:firstLine="480"/>
        <w:rPr>
          <w:rFonts w:cs="Times New Roman"/>
          <w:szCs w:val="21"/>
        </w:rPr>
      </w:pPr>
      <w:r>
        <w:rPr>
          <w:rFonts w:cs="Times New Roman"/>
          <w:szCs w:val="21"/>
        </w:rPr>
        <w:t>将[</w:t>
      </w:r>
      <w:r>
        <w:rPr>
          <w:rFonts w:cs="Times New Roman"/>
          <w:i/>
          <w:iCs/>
          <w:szCs w:val="21"/>
        </w:rPr>
        <w:t>U</w:t>
      </w:r>
      <w:r>
        <w:rPr>
          <w:rFonts w:cs="Times New Roman"/>
          <w:szCs w:val="21"/>
        </w:rPr>
        <w:t>]与[</w:t>
      </w:r>
      <w:r>
        <w:rPr>
          <w:rFonts w:cs="Times New Roman"/>
          <w:i/>
          <w:iCs/>
          <w:szCs w:val="21"/>
        </w:rPr>
        <w:t>λ</w:t>
      </w:r>
      <w:r>
        <w:rPr>
          <w:rFonts w:cs="Times New Roman"/>
          <w:szCs w:val="21"/>
        </w:rPr>
        <w:t>]代入式(1)求得等效电荷复数量的实部[</w:t>
      </w:r>
      <w:r>
        <w:rPr>
          <w:rFonts w:cs="Times New Roman"/>
          <w:i/>
          <w:iCs/>
          <w:szCs w:val="21"/>
        </w:rPr>
        <w:t>Q</w:t>
      </w:r>
      <w:r>
        <w:rPr>
          <w:rFonts w:cs="Times New Roman"/>
          <w:i/>
          <w:iCs/>
          <w:szCs w:val="21"/>
          <w:vertAlign w:val="subscript"/>
        </w:rPr>
        <w:t>R</w:t>
      </w:r>
      <w:r>
        <w:rPr>
          <w:rFonts w:cs="Times New Roman"/>
          <w:szCs w:val="21"/>
        </w:rPr>
        <w:t>]和虚部[</w:t>
      </w:r>
      <w:r>
        <w:rPr>
          <w:rFonts w:cs="Times New Roman"/>
          <w:i/>
          <w:iCs/>
          <w:szCs w:val="21"/>
        </w:rPr>
        <w:t>Q</w:t>
      </w:r>
      <w:r>
        <w:rPr>
          <w:rFonts w:cs="Times New Roman"/>
          <w:i/>
          <w:iCs/>
          <w:szCs w:val="21"/>
          <w:vertAlign w:val="subscript"/>
        </w:rPr>
        <w:t>I</w:t>
      </w:r>
      <w:r>
        <w:rPr>
          <w:rFonts w:cs="Times New Roman"/>
          <w:szCs w:val="21"/>
        </w:rPr>
        <w:t>]两部分，再由下式计算空间任一点电场强度的水平和垂直分量：</w:t>
      </w:r>
    </w:p>
    <w:p>
      <w:pPr>
        <w:snapToGrid w:val="0"/>
        <w:spacing w:line="360" w:lineRule="auto"/>
        <w:jc w:val="right"/>
        <w:rPr>
          <w:rFonts w:cs="Times New Roman"/>
          <w:szCs w:val="21"/>
        </w:rPr>
      </w:pPr>
      <w:r>
        <w:rPr>
          <w:rFonts w:cs="Times New Roman"/>
          <w:szCs w:val="21"/>
        </w:rPr>
        <w:drawing>
          <wp:inline distT="0" distB="0" distL="0" distR="0">
            <wp:extent cx="998855" cy="25400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998855" cy="254000"/>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(4a)</w:t>
      </w:r>
    </w:p>
    <w:p>
      <w:pPr>
        <w:snapToGrid w:val="0"/>
        <w:spacing w:line="360" w:lineRule="auto"/>
        <w:jc w:val="right"/>
        <w:rPr>
          <w:rFonts w:cs="Times New Roman"/>
          <w:szCs w:val="21"/>
        </w:rPr>
      </w:pPr>
      <w:r>
        <w:rPr>
          <w:rFonts w:cs="Times New Roman"/>
          <w:szCs w:val="21"/>
        </w:rPr>
        <w:drawing>
          <wp:inline distT="0" distB="0" distL="0" distR="0">
            <wp:extent cx="1030605" cy="264160"/>
            <wp:effectExtent l="0" t="0" r="0" b="254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030605" cy="264160"/>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(4b)</w:t>
      </w:r>
    </w:p>
    <w:p>
      <w:pPr>
        <w:snapToGrid w:val="0"/>
        <w:spacing w:line="360" w:lineRule="auto"/>
        <w:rPr>
          <w:rFonts w:cs="Times New Roman"/>
          <w:szCs w:val="21"/>
        </w:rPr>
      </w:pPr>
      <w:r>
        <w:rPr>
          <w:rFonts w:cs="Times New Roman"/>
          <w:szCs w:val="21"/>
        </w:rPr>
        <w:t>式中：</w:t>
      </w:r>
      <w:r>
        <w:rPr>
          <w:rFonts w:cs="Times New Roman"/>
          <w:i/>
          <w:iCs/>
          <w:szCs w:val="21"/>
        </w:rPr>
        <w:t>E</w:t>
      </w:r>
      <w:r>
        <w:rPr>
          <w:rFonts w:cs="Times New Roman"/>
          <w:i/>
          <w:iCs/>
          <w:szCs w:val="21"/>
          <w:vertAlign w:val="subscript"/>
        </w:rPr>
        <w:t>xR</w:t>
      </w:r>
      <w:r>
        <w:rPr>
          <w:rFonts w:cs="Times New Roman"/>
          <w:szCs w:val="21"/>
        </w:rPr>
        <w:t>—实部电荷产生场强的水平分量；</w:t>
      </w:r>
    </w:p>
    <w:p>
      <w:pPr>
        <w:snapToGrid w:val="0"/>
        <w:spacing w:line="360" w:lineRule="auto"/>
        <w:ind w:firstLine="420" w:firstLineChars="200"/>
        <w:rPr>
          <w:rFonts w:cs="Times New Roman"/>
          <w:szCs w:val="21"/>
        </w:rPr>
      </w:pPr>
      <w:r>
        <w:rPr>
          <w:rFonts w:cs="Times New Roman"/>
          <w:i/>
          <w:iCs/>
          <w:szCs w:val="21"/>
        </w:rPr>
        <w:t>E</w:t>
      </w:r>
      <w:r>
        <w:rPr>
          <w:rFonts w:cs="Times New Roman"/>
          <w:i/>
          <w:iCs/>
          <w:szCs w:val="21"/>
          <w:vertAlign w:val="subscript"/>
        </w:rPr>
        <w:t>xI</w:t>
      </w:r>
      <w:r>
        <w:rPr>
          <w:rFonts w:cs="Times New Roman"/>
          <w:szCs w:val="21"/>
        </w:rPr>
        <w:t>—虚部电荷产生场强的水平分量；</w:t>
      </w:r>
    </w:p>
    <w:p>
      <w:pPr>
        <w:snapToGrid w:val="0"/>
        <w:spacing w:line="360" w:lineRule="auto"/>
        <w:ind w:firstLine="420" w:firstLineChars="200"/>
        <w:rPr>
          <w:rFonts w:cs="Times New Roman"/>
          <w:szCs w:val="21"/>
        </w:rPr>
      </w:pPr>
      <w:r>
        <w:rPr>
          <w:rFonts w:cs="Times New Roman"/>
          <w:i/>
          <w:iCs/>
          <w:szCs w:val="21"/>
        </w:rPr>
        <w:t>E</w:t>
      </w:r>
      <w:r>
        <w:rPr>
          <w:rFonts w:cs="Times New Roman"/>
          <w:i/>
          <w:iCs/>
          <w:szCs w:val="21"/>
          <w:vertAlign w:val="subscript"/>
        </w:rPr>
        <w:t>yR</w:t>
      </w:r>
      <w:r>
        <w:rPr>
          <w:rFonts w:cs="Times New Roman"/>
          <w:szCs w:val="21"/>
        </w:rPr>
        <w:t>—实部电荷产生场强的垂直分量；</w:t>
      </w:r>
    </w:p>
    <w:p>
      <w:pPr>
        <w:snapToGrid w:val="0"/>
        <w:spacing w:line="360" w:lineRule="auto"/>
        <w:ind w:firstLine="420" w:firstLineChars="200"/>
        <w:rPr>
          <w:rFonts w:cs="Times New Roman"/>
          <w:szCs w:val="21"/>
        </w:rPr>
      </w:pPr>
      <w:r>
        <w:rPr>
          <w:rFonts w:cs="Times New Roman"/>
          <w:i/>
          <w:iCs/>
          <w:szCs w:val="21"/>
        </w:rPr>
        <w:t>E</w:t>
      </w:r>
      <w:r>
        <w:rPr>
          <w:rFonts w:cs="Times New Roman"/>
          <w:i/>
          <w:iCs/>
          <w:szCs w:val="21"/>
          <w:vertAlign w:val="subscript"/>
        </w:rPr>
        <w:t>yI</w:t>
      </w:r>
      <w:r>
        <w:rPr>
          <w:rFonts w:cs="Times New Roman"/>
          <w:szCs w:val="21"/>
        </w:rPr>
        <w:t>—虚部电荷产生场强的垂直分量；</w:t>
      </w:r>
    </w:p>
    <w:p>
      <w:pPr>
        <w:snapToGrid w:val="0"/>
        <w:spacing w:line="360" w:lineRule="auto"/>
        <w:rPr>
          <w:rFonts w:cs="Times New Roman"/>
          <w:szCs w:val="21"/>
        </w:rPr>
      </w:pPr>
      <w:r>
        <w:rPr>
          <w:rFonts w:cs="Times New Roman"/>
          <w:szCs w:val="21"/>
        </w:rPr>
        <w:t>上式中：</w:t>
      </w:r>
    </w:p>
    <w:p>
      <w:pPr>
        <w:snapToGrid w:val="0"/>
        <w:spacing w:line="360" w:lineRule="auto"/>
        <w:jc w:val="right"/>
        <w:rPr>
          <w:rFonts w:cs="Times New Roman"/>
          <w:szCs w:val="21"/>
        </w:rPr>
      </w:pPr>
      <w:r>
        <w:rPr>
          <w:rFonts w:cs="Times New Roman"/>
          <w:position w:val="-34"/>
          <w:szCs w:val="21"/>
        </w:rPr>
        <w:drawing>
          <wp:inline distT="0" distB="0" distL="0" distR="0">
            <wp:extent cx="2188210" cy="507365"/>
            <wp:effectExtent l="0" t="0" r="2540" b="698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188210" cy="50736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(5a)</w:t>
      </w:r>
    </w:p>
    <w:p>
      <w:pPr>
        <w:snapToGrid w:val="0"/>
        <w:spacing w:line="360" w:lineRule="auto"/>
        <w:jc w:val="right"/>
        <w:rPr>
          <w:rFonts w:cs="Times New Roman"/>
          <w:szCs w:val="21"/>
        </w:rPr>
      </w:pPr>
      <w:r>
        <w:rPr>
          <w:rFonts w:cs="Times New Roman"/>
          <w:position w:val="-34"/>
          <w:szCs w:val="21"/>
        </w:rPr>
        <w:drawing>
          <wp:inline distT="0" distB="0" distL="0" distR="0">
            <wp:extent cx="2156460" cy="507365"/>
            <wp:effectExtent l="0" t="0" r="0" b="698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156460" cy="50736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(5b)</w:t>
      </w:r>
    </w:p>
    <w:p>
      <w:pPr>
        <w:snapToGrid w:val="0"/>
        <w:spacing w:line="360" w:lineRule="auto"/>
        <w:jc w:val="right"/>
        <w:rPr>
          <w:rFonts w:cs="Times New Roman"/>
          <w:szCs w:val="21"/>
        </w:rPr>
      </w:pPr>
      <w:r>
        <w:rPr>
          <w:rFonts w:cs="Times New Roman"/>
          <w:position w:val="-34"/>
          <w:szCs w:val="21"/>
        </w:rPr>
        <w:drawing>
          <wp:inline distT="0" distB="0" distL="0" distR="0">
            <wp:extent cx="2235835" cy="507365"/>
            <wp:effectExtent l="0" t="0" r="0" b="698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235835" cy="50736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(5c)</w:t>
      </w:r>
    </w:p>
    <w:p>
      <w:pPr>
        <w:snapToGrid w:val="0"/>
        <w:spacing w:line="360" w:lineRule="auto"/>
        <w:jc w:val="right"/>
        <w:rPr>
          <w:rFonts w:cs="Times New Roman"/>
          <w:szCs w:val="21"/>
        </w:rPr>
      </w:pPr>
      <w:r>
        <w:rPr>
          <w:rFonts w:cs="Times New Roman"/>
          <w:position w:val="-34"/>
          <w:szCs w:val="21"/>
        </w:rPr>
        <w:drawing>
          <wp:inline distT="0" distB="0" distL="0" distR="0">
            <wp:extent cx="2193290" cy="507365"/>
            <wp:effectExtent l="0" t="0" r="0" b="698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193290" cy="50736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(5d)</w:t>
      </w:r>
    </w:p>
    <w:p>
      <w:pPr>
        <w:snapToGrid w:val="0"/>
        <w:spacing w:line="360" w:lineRule="auto"/>
        <w:rPr>
          <w:rFonts w:cs="Times New Roman"/>
          <w:szCs w:val="21"/>
        </w:rPr>
      </w:pPr>
      <w:r>
        <w:rPr>
          <w:rFonts w:cs="Times New Roman"/>
          <w:szCs w:val="21"/>
        </w:rPr>
        <w:t>式中：</w:t>
      </w:r>
      <w:r>
        <w:rPr>
          <w:rFonts w:cs="Times New Roman"/>
          <w:i/>
          <w:iCs/>
          <w:szCs w:val="21"/>
        </w:rPr>
        <w:t>x</w:t>
      </w:r>
      <w:r>
        <w:rPr>
          <w:rFonts w:cs="Times New Roman"/>
          <w:i/>
          <w:iCs/>
          <w:szCs w:val="21"/>
          <w:vertAlign w:val="subscript"/>
        </w:rPr>
        <w:t>i</w:t>
      </w:r>
      <w:r>
        <w:rPr>
          <w:rFonts w:cs="Times New Roman"/>
          <w:szCs w:val="21"/>
        </w:rPr>
        <w:t>，</w:t>
      </w:r>
      <w:r>
        <w:rPr>
          <w:rFonts w:cs="Times New Roman"/>
          <w:i/>
          <w:iCs/>
          <w:szCs w:val="21"/>
        </w:rPr>
        <w:t>y</w:t>
      </w:r>
      <w:r>
        <w:rPr>
          <w:rFonts w:cs="Times New Roman"/>
          <w:i/>
          <w:iCs/>
          <w:szCs w:val="21"/>
          <w:vertAlign w:val="subscript"/>
        </w:rPr>
        <w:t>i</w:t>
      </w:r>
      <w:r>
        <w:rPr>
          <w:rFonts w:cs="Times New Roman"/>
          <w:szCs w:val="21"/>
        </w:rPr>
        <w:t>—第</w:t>
      </w:r>
      <w:r>
        <w:rPr>
          <w:rFonts w:cs="Times New Roman"/>
          <w:i/>
          <w:iCs/>
          <w:szCs w:val="21"/>
        </w:rPr>
        <w:t>i</w:t>
      </w:r>
      <w:r>
        <w:rPr>
          <w:rFonts w:cs="Times New Roman"/>
          <w:szCs w:val="21"/>
        </w:rPr>
        <w:t>根导线的坐标；</w:t>
      </w:r>
    </w:p>
    <w:p>
      <w:pPr>
        <w:snapToGrid w:val="0"/>
        <w:spacing w:line="360" w:lineRule="auto"/>
        <w:ind w:firstLine="420" w:firstLineChars="200"/>
        <w:rPr>
          <w:rFonts w:cs="Times New Roman"/>
          <w:szCs w:val="21"/>
        </w:rPr>
      </w:pPr>
      <w:r>
        <w:rPr>
          <w:rFonts w:cs="Times New Roman"/>
          <w:i/>
          <w:iCs/>
          <w:szCs w:val="21"/>
        </w:rPr>
        <w:t>m</w:t>
      </w:r>
      <w:r>
        <w:rPr>
          <w:rFonts w:cs="Times New Roman"/>
          <w:szCs w:val="21"/>
        </w:rPr>
        <w:t>—导线总数；</w:t>
      </w:r>
    </w:p>
    <w:p>
      <w:pPr>
        <w:snapToGrid w:val="0"/>
        <w:spacing w:line="360" w:lineRule="auto"/>
        <w:ind w:firstLine="420" w:firstLineChars="200"/>
        <w:rPr>
          <w:rFonts w:cs="Times New Roman"/>
          <w:szCs w:val="21"/>
        </w:rPr>
      </w:pPr>
      <w:r>
        <w:rPr>
          <w:rFonts w:cs="Times New Roman"/>
          <w:position w:val="-12"/>
          <w:szCs w:val="21"/>
        </w:rPr>
        <w:drawing>
          <wp:inline distT="0" distB="0" distL="0" distR="0">
            <wp:extent cx="407035" cy="227330"/>
            <wp:effectExtent l="0" t="0" r="0" b="127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07035" cy="227330"/>
                    </a:xfrm>
                    <a:prstGeom prst="rect">
                      <a:avLst/>
                    </a:prstGeom>
                    <a:noFill/>
                    <a:ln>
                      <a:noFill/>
                    </a:ln>
                  </pic:spPr>
                </pic:pic>
              </a:graphicData>
            </a:graphic>
          </wp:inline>
        </w:drawing>
      </w:r>
      <w:r>
        <w:rPr>
          <w:rFonts w:cs="Times New Roman"/>
          <w:szCs w:val="21"/>
        </w:rPr>
        <w:t>—分别为各导线及其对地的镜像导线至计算点的距离。</w:t>
      </w:r>
    </w:p>
    <w:p>
      <w:pPr>
        <w:snapToGrid w:val="0"/>
        <w:spacing w:line="360" w:lineRule="auto"/>
        <w:ind w:firstLine="420" w:firstLineChars="200"/>
        <w:rPr>
          <w:rFonts w:cs="Times New Roman"/>
          <w:szCs w:val="21"/>
        </w:rPr>
      </w:pPr>
      <w:r>
        <w:rPr>
          <w:rFonts w:cs="Times New Roman"/>
          <w:szCs w:val="21"/>
        </w:rPr>
        <w:t>将(5)式代入(4)式，便可得到空间任一点合成场强的水平与垂直分量</w:t>
      </w:r>
      <w:r>
        <w:rPr>
          <w:rFonts w:cs="Times New Roman"/>
          <w:i/>
          <w:iCs/>
          <w:szCs w:val="21"/>
        </w:rPr>
        <w:t>E</w:t>
      </w:r>
      <w:r>
        <w:rPr>
          <w:rFonts w:cs="Times New Roman"/>
          <w:szCs w:val="21"/>
          <w:vertAlign w:val="subscript"/>
        </w:rPr>
        <w:t>x</w:t>
      </w:r>
      <w:r>
        <w:rPr>
          <w:rFonts w:cs="Times New Roman"/>
          <w:szCs w:val="21"/>
        </w:rPr>
        <w:t>和</w:t>
      </w:r>
      <w:r>
        <w:rPr>
          <w:rFonts w:cs="Times New Roman"/>
          <w:i/>
          <w:iCs/>
          <w:szCs w:val="21"/>
        </w:rPr>
        <w:t>E</w:t>
      </w:r>
      <w:r>
        <w:rPr>
          <w:rFonts w:cs="Times New Roman"/>
          <w:szCs w:val="21"/>
          <w:vertAlign w:val="subscript"/>
        </w:rPr>
        <w:t>y</w:t>
      </w:r>
      <w:r>
        <w:rPr>
          <w:rFonts w:cs="Times New Roman"/>
          <w:szCs w:val="21"/>
        </w:rPr>
        <w:t>：</w:t>
      </w:r>
    </w:p>
    <w:p>
      <w:pPr>
        <w:snapToGrid w:val="0"/>
        <w:spacing w:line="360" w:lineRule="auto"/>
        <w:jc w:val="right"/>
        <w:rPr>
          <w:rFonts w:cs="Times New Roman"/>
          <w:szCs w:val="21"/>
        </w:rPr>
      </w:pPr>
      <w:r>
        <w:rPr>
          <w:rFonts w:cs="Times New Roman"/>
          <w:position w:val="-14"/>
          <w:szCs w:val="21"/>
        </w:rPr>
        <w:drawing>
          <wp:inline distT="0" distB="0" distL="0" distR="0">
            <wp:extent cx="1194435" cy="306705"/>
            <wp:effectExtent l="0" t="0" r="5715"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194435" cy="30670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 xml:space="preserve"> (6a)</w:t>
      </w:r>
    </w:p>
    <w:p>
      <w:pPr>
        <w:snapToGrid w:val="0"/>
        <w:spacing w:line="360" w:lineRule="auto"/>
        <w:jc w:val="right"/>
        <w:rPr>
          <w:rFonts w:cs="Times New Roman"/>
          <w:szCs w:val="21"/>
        </w:rPr>
      </w:pPr>
      <w:r>
        <w:rPr>
          <w:rFonts w:cs="Times New Roman"/>
          <w:position w:val="-16"/>
          <w:szCs w:val="21"/>
        </w:rPr>
        <w:drawing>
          <wp:inline distT="0" distB="0" distL="0" distR="0">
            <wp:extent cx="1205230" cy="316865"/>
            <wp:effectExtent l="0" t="0" r="0" b="698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205230" cy="31686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(6b)</w:t>
      </w:r>
    </w:p>
    <w:p>
      <w:pPr>
        <w:snapToGrid w:val="0"/>
        <w:spacing w:line="360" w:lineRule="auto"/>
        <w:ind w:firstLine="480"/>
        <w:rPr>
          <w:rFonts w:cs="Times New Roman"/>
          <w:szCs w:val="21"/>
        </w:rPr>
      </w:pPr>
      <w:r>
        <w:rPr>
          <w:rFonts w:cs="Times New Roman"/>
          <w:szCs w:val="21"/>
        </w:rPr>
        <w:t>B. 磁场强度计算模式</w:t>
      </w:r>
    </w:p>
    <w:p>
      <w:pPr>
        <w:snapToGrid w:val="0"/>
        <w:spacing w:line="360" w:lineRule="auto"/>
        <w:ind w:firstLine="480"/>
        <w:rPr>
          <w:rFonts w:cs="Times New Roman"/>
          <w:szCs w:val="21"/>
        </w:rPr>
      </w:pPr>
      <w:r>
        <w:rPr>
          <w:rFonts w:cs="Times New Roman"/>
          <w:szCs w:val="21"/>
        </w:rPr>
        <w:t>磁场强度可用安培定律将计算结果按矢量叠加，计算式为：</w:t>
      </w:r>
    </w:p>
    <w:p>
      <w:pPr>
        <w:snapToGrid w:val="0"/>
        <w:spacing w:line="360" w:lineRule="auto"/>
        <w:jc w:val="right"/>
        <w:rPr>
          <w:rFonts w:cs="Times New Roman"/>
          <w:szCs w:val="21"/>
        </w:rPr>
      </w:pPr>
      <w:r>
        <w:rPr>
          <w:rFonts w:cs="Times New Roman"/>
          <w:position w:val="-32"/>
          <w:szCs w:val="21"/>
        </w:rPr>
        <w:drawing>
          <wp:inline distT="0" distB="0" distL="0" distR="0">
            <wp:extent cx="1120775" cy="443865"/>
            <wp:effectExtent l="0" t="0" r="3175"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120775" cy="443865"/>
                    </a:xfrm>
                    <a:prstGeom prst="rect">
                      <a:avLst/>
                    </a:prstGeom>
                    <a:noFill/>
                    <a:ln>
                      <a:noFill/>
                    </a:ln>
                  </pic:spPr>
                </pic:pic>
              </a:graphicData>
            </a:graphic>
          </wp:inline>
        </w:drawing>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ab/>
      </w:r>
      <w:r>
        <w:rPr>
          <w:rFonts w:cs="Times New Roman"/>
          <w:szCs w:val="21"/>
        </w:rPr>
        <w:t>(7)</w:t>
      </w:r>
    </w:p>
    <w:p>
      <w:pPr>
        <w:snapToGrid w:val="0"/>
        <w:spacing w:line="360" w:lineRule="auto"/>
        <w:ind w:firstLine="420" w:firstLineChars="200"/>
        <w:rPr>
          <w:rFonts w:cs="Times New Roman"/>
          <w:szCs w:val="21"/>
        </w:rPr>
      </w:pPr>
      <w:r>
        <w:rPr>
          <w:rFonts w:cs="Times New Roman"/>
          <w:szCs w:val="21"/>
        </w:rPr>
        <w:t>式中：</w:t>
      </w:r>
      <w:r>
        <w:rPr>
          <w:rFonts w:cs="Times New Roman"/>
          <w:i/>
          <w:iCs/>
          <w:szCs w:val="21"/>
        </w:rPr>
        <w:t>I</w:t>
      </w:r>
      <w:r>
        <w:rPr>
          <w:rFonts w:cs="Times New Roman"/>
          <w:szCs w:val="21"/>
        </w:rPr>
        <w:t>—导线中的电流强度；</w:t>
      </w:r>
    </w:p>
    <w:p>
      <w:pPr>
        <w:snapToGrid w:val="0"/>
        <w:spacing w:line="360" w:lineRule="auto"/>
        <w:ind w:firstLine="420" w:firstLineChars="200"/>
        <w:rPr>
          <w:rFonts w:cs="Times New Roman"/>
          <w:szCs w:val="21"/>
        </w:rPr>
      </w:pPr>
      <w:r>
        <w:rPr>
          <w:rFonts w:cs="Times New Roman"/>
          <w:i/>
          <w:iCs/>
          <w:szCs w:val="21"/>
        </w:rPr>
        <w:t>h</w:t>
      </w:r>
      <w:r>
        <w:rPr>
          <w:rFonts w:cs="Times New Roman"/>
          <w:szCs w:val="21"/>
        </w:rPr>
        <w:t>—导线离地面的垂直距离；</w:t>
      </w:r>
    </w:p>
    <w:p>
      <w:pPr>
        <w:snapToGrid w:val="0"/>
        <w:spacing w:line="360" w:lineRule="auto"/>
        <w:ind w:firstLine="420" w:firstLineChars="200"/>
        <w:rPr>
          <w:rFonts w:cs="Times New Roman"/>
          <w:szCs w:val="21"/>
        </w:rPr>
      </w:pPr>
      <w:r>
        <w:rPr>
          <w:rFonts w:cs="Times New Roman"/>
          <w:i/>
          <w:iCs/>
          <w:szCs w:val="21"/>
        </w:rPr>
        <w:t>L</w:t>
      </w:r>
      <w:r>
        <w:rPr>
          <w:rFonts w:cs="Times New Roman"/>
          <w:szCs w:val="21"/>
        </w:rPr>
        <w:t>—测点离导线在地面投影的距离。</w:t>
      </w:r>
    </w:p>
    <w:p>
      <w:pPr>
        <w:keepNext/>
        <w:keepLines/>
        <w:spacing w:line="360" w:lineRule="auto"/>
        <w:outlineLvl w:val="3"/>
        <w:rPr>
          <w:rFonts w:eastAsia="黑体" w:cs="Times New Roman"/>
          <w:szCs w:val="28"/>
        </w:rPr>
      </w:pPr>
      <w:r>
        <w:rPr>
          <w:rFonts w:eastAsia="黑体" w:cs="Times New Roman"/>
          <w:szCs w:val="28"/>
        </w:rPr>
        <w:t>5.</w:t>
      </w:r>
      <w:r>
        <w:rPr>
          <w:rFonts w:hint="eastAsia" w:eastAsia="黑体" w:cs="Times New Roman"/>
          <w:szCs w:val="28"/>
        </w:rPr>
        <w:t>1</w:t>
      </w:r>
      <w:r>
        <w:rPr>
          <w:rFonts w:eastAsia="黑体" w:cs="Times New Roman"/>
          <w:szCs w:val="28"/>
        </w:rPr>
        <w:t>.3  预测工况及环境条件选择</w:t>
      </w:r>
    </w:p>
    <w:p>
      <w:pPr>
        <w:snapToGrid w:val="0"/>
        <w:spacing w:line="360" w:lineRule="auto"/>
        <w:ind w:firstLine="480"/>
        <w:rPr>
          <w:rFonts w:cs="Times New Roman"/>
          <w:szCs w:val="21"/>
        </w:rPr>
      </w:pPr>
      <w:r>
        <w:rPr>
          <w:rFonts w:cs="Times New Roman"/>
          <w:szCs w:val="21"/>
        </w:rPr>
        <w:t>根据本</w:t>
      </w:r>
      <w:r>
        <w:rPr>
          <w:rFonts w:hint="eastAsia" w:cs="Times New Roman"/>
          <w:szCs w:val="21"/>
        </w:rPr>
        <w:t>项目拟建</w:t>
      </w:r>
      <w:r>
        <w:rPr>
          <w:rFonts w:cs="Times New Roman"/>
          <w:szCs w:val="21"/>
        </w:rPr>
        <w:t>输电线路可研阶段相关设计参数，工频电磁场强模式计算所采用的典型杆塔及计算参数见表5-</w:t>
      </w:r>
      <w:r>
        <w:rPr>
          <w:rFonts w:hint="eastAsia" w:cs="Times New Roman"/>
          <w:szCs w:val="21"/>
        </w:rPr>
        <w:t>1</w:t>
      </w:r>
      <w:r>
        <w:rPr>
          <w:rFonts w:cs="Times New Roman"/>
          <w:szCs w:val="21"/>
        </w:rPr>
        <w:t>。</w:t>
      </w:r>
    </w:p>
    <w:p>
      <w:pPr>
        <w:spacing w:line="360" w:lineRule="auto"/>
        <w:ind w:firstLine="420" w:firstLineChars="200"/>
        <w:rPr>
          <w:rFonts w:cs="Times New Roman"/>
          <w:szCs w:val="21"/>
          <w:highlight w:val="yellow"/>
        </w:rPr>
        <w:sectPr>
          <w:pgSz w:w="11906" w:h="16838"/>
          <w:pgMar w:top="1418" w:right="1418" w:bottom="1418" w:left="1418" w:header="851" w:footer="992" w:gutter="0"/>
          <w:cols w:space="425" w:num="1"/>
          <w:docGrid w:type="lines" w:linePitch="312" w:charSpace="0"/>
        </w:sectPr>
      </w:pPr>
    </w:p>
    <w:p>
      <w:pPr>
        <w:jc w:val="center"/>
        <w:rPr>
          <w:rFonts w:eastAsia="黑体" w:cs="Times New Roman"/>
          <w:sz w:val="18"/>
          <w:szCs w:val="21"/>
        </w:rPr>
      </w:pPr>
      <w:bookmarkStart w:id="68" w:name="_Hlk141428944"/>
      <w:r>
        <w:rPr>
          <w:rFonts w:eastAsia="黑体" w:cs="Times New Roman"/>
          <w:sz w:val="18"/>
          <w:szCs w:val="21"/>
        </w:rPr>
        <w:t>输电线路电磁环境影响预测参数一览表</w:t>
      </w:r>
    </w:p>
    <w:p>
      <w:pPr>
        <w:rPr>
          <w:rFonts w:eastAsia="黑体" w:cs="Times New Roman"/>
          <w:sz w:val="18"/>
          <w:szCs w:val="20"/>
        </w:rPr>
      </w:pPr>
      <w:r>
        <w:rPr>
          <w:rFonts w:eastAsia="黑体" w:cs="Times New Roman"/>
          <w:sz w:val="18"/>
          <w:szCs w:val="20"/>
        </w:rPr>
        <w:t>表5-</w:t>
      </w:r>
      <w:r>
        <w:rPr>
          <w:rFonts w:hint="eastAsia" w:eastAsia="黑体" w:cs="Times New Roman"/>
          <w:sz w:val="18"/>
          <w:szCs w:val="20"/>
        </w:rPr>
        <w:t>1</w:t>
      </w:r>
    </w:p>
    <w:bookmarkEnd w:id="68"/>
    <w:tbl>
      <w:tblPr>
        <w:tblStyle w:val="25"/>
        <w:tblW w:w="538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9"/>
        <w:gridCol w:w="8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357" w:type="pct"/>
            <w:shd w:val="clear" w:color="auto" w:fill="DBEEF3"/>
            <w:vAlign w:val="center"/>
          </w:tcPr>
          <w:p>
            <w:pPr>
              <w:pStyle w:val="16"/>
              <w:spacing w:line="288" w:lineRule="auto"/>
              <w:jc w:val="center"/>
              <w:rPr>
                <w:sz w:val="18"/>
                <w:szCs w:val="18"/>
              </w:rPr>
            </w:pPr>
            <w:r>
              <w:rPr>
                <w:rFonts w:ascii="Times New Roman" w:cs="Times New Roman"/>
                <w:sz w:val="18"/>
                <w:szCs w:val="18"/>
              </w:rPr>
              <w:t>线路</w:t>
            </w:r>
          </w:p>
        </w:tc>
        <w:tc>
          <w:tcPr>
            <w:tcW w:w="2643" w:type="pct"/>
            <w:vAlign w:val="center"/>
          </w:tcPr>
          <w:p>
            <w:pPr>
              <w:jc w:val="center"/>
              <w:rPr>
                <w:sz w:val="18"/>
                <w:szCs w:val="18"/>
              </w:rPr>
            </w:pPr>
            <w:r>
              <w:rPr>
                <w:rFonts w:hint="eastAsia" w:cs="Times New Roman"/>
                <w:sz w:val="18"/>
                <w:szCs w:val="18"/>
              </w:rPr>
              <w:t>新建双回架空线路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357" w:type="pct"/>
            <w:shd w:val="clear" w:color="auto" w:fill="DBEEF3"/>
            <w:vAlign w:val="center"/>
          </w:tcPr>
          <w:p>
            <w:pPr>
              <w:pStyle w:val="16"/>
              <w:spacing w:line="288" w:lineRule="auto"/>
              <w:jc w:val="center"/>
              <w:rPr>
                <w:sz w:val="18"/>
                <w:szCs w:val="18"/>
              </w:rPr>
            </w:pPr>
            <w:r>
              <w:rPr>
                <w:rFonts w:ascii="Times New Roman" w:cs="Times New Roman"/>
                <w:kern w:val="0"/>
                <w:sz w:val="18"/>
                <w:szCs w:val="18"/>
              </w:rPr>
              <w:t>电压等级</w:t>
            </w:r>
          </w:p>
        </w:tc>
        <w:tc>
          <w:tcPr>
            <w:tcW w:w="2643" w:type="pct"/>
            <w:vAlign w:val="center"/>
          </w:tcPr>
          <w:p>
            <w:pPr>
              <w:jc w:val="center"/>
              <w:rPr>
                <w:sz w:val="18"/>
                <w:szCs w:val="18"/>
              </w:rPr>
            </w:pPr>
            <w:r>
              <w:rPr>
                <w:rFonts w:hint="eastAsia" w:cs="Times New Roman"/>
                <w:sz w:val="18"/>
                <w:szCs w:val="18"/>
              </w:rPr>
              <w:t>110kV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357" w:type="pct"/>
            <w:shd w:val="clear" w:color="auto" w:fill="DBEEF3"/>
            <w:vAlign w:val="center"/>
          </w:tcPr>
          <w:p>
            <w:pPr>
              <w:pStyle w:val="16"/>
              <w:spacing w:line="288" w:lineRule="auto"/>
              <w:jc w:val="center"/>
              <w:rPr>
                <w:sz w:val="18"/>
                <w:szCs w:val="18"/>
              </w:rPr>
            </w:pPr>
            <w:r>
              <w:rPr>
                <w:rFonts w:ascii="Times New Roman" w:cs="Times New Roman"/>
                <w:kern w:val="0"/>
                <w:sz w:val="18"/>
                <w:szCs w:val="18"/>
              </w:rPr>
              <w:t>预测线路回数</w:t>
            </w:r>
          </w:p>
        </w:tc>
        <w:tc>
          <w:tcPr>
            <w:tcW w:w="2643" w:type="pct"/>
            <w:vAlign w:val="center"/>
          </w:tcPr>
          <w:p>
            <w:pPr>
              <w:jc w:val="center"/>
              <w:rPr>
                <w:sz w:val="18"/>
                <w:szCs w:val="18"/>
              </w:rPr>
            </w:pPr>
            <w:r>
              <w:rPr>
                <w:rFonts w:hint="eastAsia" w:cs="Times New Roman"/>
                <w:sz w:val="18"/>
                <w:szCs w:val="18"/>
              </w:rPr>
              <w:t>2回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357" w:type="pct"/>
            <w:shd w:val="clear" w:color="auto" w:fill="DBEEF3"/>
            <w:vAlign w:val="center"/>
          </w:tcPr>
          <w:p>
            <w:pPr>
              <w:pStyle w:val="16"/>
              <w:spacing w:line="288" w:lineRule="auto"/>
              <w:jc w:val="center"/>
              <w:rPr>
                <w:kern w:val="0"/>
                <w:sz w:val="18"/>
                <w:szCs w:val="18"/>
              </w:rPr>
            </w:pPr>
            <w:r>
              <w:rPr>
                <w:rFonts w:hint="eastAsia" w:ascii="Times New Roman" w:cs="Times New Roman"/>
                <w:kern w:val="0"/>
                <w:sz w:val="18"/>
                <w:szCs w:val="18"/>
              </w:rPr>
              <w:t>预测塔型</w:t>
            </w:r>
          </w:p>
        </w:tc>
        <w:tc>
          <w:tcPr>
            <w:tcW w:w="2643" w:type="pct"/>
            <w:vAlign w:val="center"/>
          </w:tcPr>
          <w:p>
            <w:pPr>
              <w:jc w:val="center"/>
              <w:rPr>
                <w:sz w:val="18"/>
                <w:szCs w:val="18"/>
              </w:rPr>
            </w:pPr>
            <w:r>
              <w:rPr>
                <w:rFonts w:hint="eastAsia" w:cs="Times New Roman"/>
                <w:sz w:val="18"/>
                <w:szCs w:val="18"/>
              </w:rPr>
              <w:t>1SKGT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357" w:type="pct"/>
            <w:shd w:val="clear" w:color="auto" w:fill="DBEEF3"/>
            <w:vAlign w:val="center"/>
          </w:tcPr>
          <w:p>
            <w:pPr>
              <w:pStyle w:val="16"/>
              <w:spacing w:line="288" w:lineRule="auto"/>
              <w:jc w:val="center"/>
              <w:rPr>
                <w:kern w:val="0"/>
                <w:sz w:val="18"/>
                <w:szCs w:val="18"/>
              </w:rPr>
            </w:pPr>
            <w:r>
              <w:rPr>
                <w:rFonts w:ascii="Times New Roman" w:cs="Times New Roman"/>
                <w:kern w:val="0"/>
                <w:sz w:val="18"/>
                <w:szCs w:val="18"/>
              </w:rPr>
              <w:t>导线型号</w:t>
            </w:r>
          </w:p>
        </w:tc>
        <w:tc>
          <w:tcPr>
            <w:tcW w:w="2643" w:type="pct"/>
            <w:vAlign w:val="center"/>
          </w:tcPr>
          <w:p>
            <w:pPr>
              <w:jc w:val="center"/>
              <w:rPr>
                <w:sz w:val="18"/>
                <w:szCs w:val="18"/>
              </w:rPr>
            </w:pPr>
            <w:r>
              <w:rPr>
                <w:rFonts w:hint="eastAsia" w:cs="Times New Roman"/>
                <w:sz w:val="18"/>
                <w:szCs w:val="18"/>
              </w:rPr>
              <w:t>JL/G1A-300/25型钢芯铝绞线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357" w:type="pct"/>
            <w:shd w:val="clear" w:color="auto" w:fill="DBEEF3"/>
            <w:vAlign w:val="center"/>
          </w:tcPr>
          <w:p>
            <w:pPr>
              <w:pStyle w:val="16"/>
              <w:spacing w:line="288" w:lineRule="auto"/>
              <w:jc w:val="center"/>
              <w:rPr>
                <w:kern w:val="0"/>
                <w:sz w:val="18"/>
                <w:szCs w:val="18"/>
              </w:rPr>
            </w:pPr>
            <w:r>
              <w:rPr>
                <w:rFonts w:hint="eastAsia" w:ascii="Times New Roman" w:cs="Times New Roman"/>
                <w:kern w:val="0"/>
                <w:sz w:val="18"/>
                <w:szCs w:val="18"/>
              </w:rPr>
              <w:t>分裂数及间距</w:t>
            </w:r>
          </w:p>
        </w:tc>
        <w:tc>
          <w:tcPr>
            <w:tcW w:w="2643" w:type="pct"/>
            <w:vAlign w:val="center"/>
          </w:tcPr>
          <w:p>
            <w:pPr>
              <w:jc w:val="center"/>
              <w:rPr>
                <w:sz w:val="18"/>
                <w:szCs w:val="18"/>
              </w:rPr>
            </w:pPr>
            <w:r>
              <w:rPr>
                <w:rFonts w:hint="eastAsia" w:cs="Times New Roman"/>
                <w:sz w:val="18"/>
                <w:szCs w:val="18"/>
              </w:rPr>
              <w:t>无分裂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357" w:type="pct"/>
            <w:shd w:val="clear" w:color="auto" w:fill="DBEEF3"/>
            <w:vAlign w:val="center"/>
          </w:tcPr>
          <w:p>
            <w:pPr>
              <w:autoSpaceDE w:val="0"/>
              <w:autoSpaceDN w:val="0"/>
              <w:adjustRightInd w:val="0"/>
              <w:spacing w:line="288" w:lineRule="auto"/>
              <w:jc w:val="center"/>
              <w:rPr>
                <w:sz w:val="18"/>
                <w:szCs w:val="18"/>
              </w:rPr>
            </w:pPr>
            <w:r>
              <w:rPr>
                <w:rFonts w:cs="Times New Roman"/>
                <w:kern w:val="0"/>
                <w:sz w:val="18"/>
                <w:szCs w:val="18"/>
              </w:rPr>
              <w:t>计算</w:t>
            </w:r>
            <w:r>
              <w:rPr>
                <w:rFonts w:hint="eastAsia" w:cs="Times New Roman"/>
                <w:kern w:val="0"/>
                <w:sz w:val="18"/>
                <w:szCs w:val="18"/>
              </w:rPr>
              <w:t>载流量/A</w:t>
            </w:r>
          </w:p>
        </w:tc>
        <w:tc>
          <w:tcPr>
            <w:tcW w:w="2643" w:type="pct"/>
            <w:vAlign w:val="center"/>
          </w:tcPr>
          <w:p>
            <w:pPr>
              <w:jc w:val="center"/>
              <w:rPr>
                <w:sz w:val="18"/>
                <w:szCs w:val="18"/>
              </w:rPr>
            </w:pPr>
            <w:r>
              <w:rPr>
                <w:rFonts w:hint="eastAsia" w:cs="Times New Roman"/>
                <w:sz w:val="18"/>
                <w:szCs w:val="18"/>
              </w:rPr>
              <w:t>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357" w:type="pct"/>
            <w:shd w:val="clear" w:color="auto" w:fill="DBEEF3"/>
            <w:vAlign w:val="center"/>
          </w:tcPr>
          <w:p>
            <w:pPr>
              <w:pStyle w:val="16"/>
              <w:spacing w:line="288" w:lineRule="auto"/>
              <w:jc w:val="center"/>
              <w:rPr>
                <w:sz w:val="18"/>
                <w:szCs w:val="18"/>
              </w:rPr>
            </w:pPr>
            <w:r>
              <w:rPr>
                <w:rFonts w:ascii="Times New Roman" w:cs="Times New Roman"/>
                <w:kern w:val="0"/>
                <w:sz w:val="18"/>
                <w:szCs w:val="18"/>
              </w:rPr>
              <w:t>导线外径（mm）</w:t>
            </w:r>
          </w:p>
        </w:tc>
        <w:tc>
          <w:tcPr>
            <w:tcW w:w="2643" w:type="pct"/>
            <w:vAlign w:val="center"/>
          </w:tcPr>
          <w:p>
            <w:pPr>
              <w:jc w:val="center"/>
              <w:rPr>
                <w:sz w:val="18"/>
                <w:szCs w:val="18"/>
              </w:rPr>
            </w:pPr>
            <w:r>
              <w:rPr>
                <w:rFonts w:hint="eastAsia" w:cs="Times New Roman"/>
                <w:sz w:val="18"/>
                <w:szCs w:val="18"/>
              </w:rPr>
              <w:t>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357" w:type="pct"/>
            <w:shd w:val="clear" w:color="auto" w:fill="DBEEF3"/>
            <w:vAlign w:val="center"/>
          </w:tcPr>
          <w:p>
            <w:pPr>
              <w:pStyle w:val="16"/>
              <w:spacing w:line="288" w:lineRule="auto"/>
              <w:jc w:val="center"/>
              <w:rPr>
                <w:kern w:val="0"/>
                <w:sz w:val="18"/>
                <w:szCs w:val="18"/>
              </w:rPr>
            </w:pPr>
            <w:r>
              <w:rPr>
                <w:rFonts w:hint="eastAsia" w:ascii="Times New Roman" w:cs="Times New Roman"/>
                <w:kern w:val="0"/>
                <w:sz w:val="18"/>
                <w:szCs w:val="18"/>
              </w:rPr>
              <w:t>导线排列方式</w:t>
            </w:r>
          </w:p>
        </w:tc>
        <w:tc>
          <w:tcPr>
            <w:tcW w:w="2643" w:type="pct"/>
            <w:vAlign w:val="center"/>
          </w:tcPr>
          <w:p>
            <w:pPr>
              <w:jc w:val="center"/>
              <w:rPr>
                <w:sz w:val="18"/>
                <w:szCs w:val="18"/>
              </w:rPr>
            </w:pPr>
            <w:r>
              <w:rPr>
                <w:rFonts w:hint="eastAsia" w:cs="Times New Roman"/>
                <w:sz w:val="18"/>
                <w:szCs w:val="18"/>
              </w:rPr>
              <w:t>垂直排列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357" w:type="pct"/>
            <w:shd w:val="clear" w:color="auto" w:fill="DBEEF3"/>
            <w:vAlign w:val="center"/>
          </w:tcPr>
          <w:p>
            <w:pPr>
              <w:pStyle w:val="16"/>
              <w:spacing w:line="288" w:lineRule="auto"/>
              <w:jc w:val="center"/>
              <w:rPr>
                <w:kern w:val="0"/>
                <w:sz w:val="18"/>
                <w:szCs w:val="18"/>
              </w:rPr>
            </w:pPr>
            <w:r>
              <w:rPr>
                <w:rFonts w:hint="eastAsia" w:ascii="Times New Roman" w:cs="Times New Roman"/>
                <w:kern w:val="0"/>
                <w:sz w:val="18"/>
                <w:szCs w:val="18"/>
              </w:rPr>
              <w:t xml:space="preserve">相序 </w:t>
            </w:r>
          </w:p>
        </w:tc>
        <w:tc>
          <w:tcPr>
            <w:tcW w:w="2643" w:type="pct"/>
            <w:vAlign w:val="center"/>
          </w:tcPr>
          <w:p>
            <w:pPr>
              <w:jc w:val="center"/>
              <w:rPr>
                <w:sz w:val="18"/>
                <w:szCs w:val="18"/>
              </w:rPr>
            </w:pPr>
            <w:r>
              <w:rPr>
                <w:rFonts w:hint="eastAsia" w:cs="Times New Roman"/>
                <w:sz w:val="18"/>
                <w:szCs w:val="18"/>
              </w:rPr>
              <w:t>同相序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2357" w:type="pct"/>
            <w:shd w:val="clear" w:color="auto" w:fill="DBEEF3"/>
            <w:vAlign w:val="center"/>
          </w:tcPr>
          <w:p>
            <w:pPr>
              <w:pStyle w:val="16"/>
              <w:spacing w:line="288" w:lineRule="auto"/>
              <w:jc w:val="center"/>
              <w:rPr>
                <w:kern w:val="0"/>
                <w:sz w:val="18"/>
                <w:szCs w:val="18"/>
              </w:rPr>
            </w:pPr>
            <w:r>
              <w:rPr>
                <w:rFonts w:hint="eastAsia" w:ascii="Times New Roman" w:cs="Times New Roman"/>
                <w:kern w:val="0"/>
                <w:sz w:val="18"/>
                <w:szCs w:val="18"/>
              </w:rPr>
              <w:t>排列相序以及相对坐标（以杆塔中心为原点）</w:t>
            </w:r>
          </w:p>
        </w:tc>
        <w:tc>
          <w:tcPr>
            <w:tcW w:w="2643" w:type="pct"/>
            <w:vAlign w:val="center"/>
          </w:tcPr>
          <w:p>
            <w:pPr>
              <w:jc w:val="center"/>
              <w:rPr>
                <w:sz w:val="18"/>
                <w:szCs w:val="18"/>
              </w:rPr>
            </w:pPr>
            <w:r>
              <w:rPr>
                <w:rFonts w:hint="eastAsia" w:cs="Times New Roman"/>
                <w:sz w:val="18"/>
                <w:szCs w:val="18"/>
              </w:rPr>
              <w:t>C1（-4.2，h+8.8） C2（4.2，h+8.8）</w:t>
            </w:r>
          </w:p>
          <w:p>
            <w:pPr>
              <w:jc w:val="center"/>
              <w:rPr>
                <w:sz w:val="18"/>
                <w:szCs w:val="18"/>
              </w:rPr>
            </w:pPr>
            <w:r>
              <w:rPr>
                <w:rFonts w:hint="eastAsia" w:cs="Times New Roman"/>
                <w:sz w:val="18"/>
                <w:szCs w:val="18"/>
              </w:rPr>
              <w:t>B1（-5，h+4.3） B2（5，h+4.3）</w:t>
            </w:r>
          </w:p>
          <w:p>
            <w:pPr>
              <w:jc w:val="center"/>
              <w:rPr>
                <w:sz w:val="18"/>
                <w:szCs w:val="18"/>
              </w:rPr>
            </w:pPr>
            <w:r>
              <w:rPr>
                <w:rFonts w:hint="eastAsia" w:cs="Times New Roman"/>
                <w:sz w:val="18"/>
                <w:szCs w:val="18"/>
              </w:rPr>
              <w:t>A1（-4.4，h） A2（4.4，h）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3" w:hRule="atLeast"/>
          <w:jc w:val="center"/>
        </w:trPr>
        <w:tc>
          <w:tcPr>
            <w:tcW w:w="2357" w:type="pct"/>
            <w:shd w:val="clear" w:color="auto" w:fill="DBEEF3"/>
            <w:vAlign w:val="center"/>
          </w:tcPr>
          <w:p>
            <w:pPr>
              <w:pStyle w:val="16"/>
              <w:spacing w:line="288" w:lineRule="auto"/>
              <w:jc w:val="center"/>
              <w:rPr>
                <w:sz w:val="18"/>
                <w:szCs w:val="18"/>
              </w:rPr>
            </w:pPr>
            <w:r>
              <w:rPr>
                <w:rFonts w:hint="eastAsia" w:ascii="Times New Roman" w:cs="Times New Roman"/>
                <w:sz w:val="18"/>
                <w:szCs w:val="18"/>
              </w:rPr>
              <w:t>预测塔型参数</w:t>
            </w:r>
          </w:p>
        </w:tc>
        <w:tc>
          <w:tcPr>
            <w:tcW w:w="2643" w:type="pct"/>
            <w:vAlign w:val="center"/>
          </w:tcPr>
          <w:p>
            <w:pPr>
              <w:pStyle w:val="30"/>
              <w:jc w:val="center"/>
              <w:rPr>
                <w:rFonts w:cs="Times New Roman"/>
                <w:color w:val="auto"/>
                <w:sz w:val="18"/>
                <w:szCs w:val="18"/>
              </w:rPr>
            </w:pPr>
            <w:r>
              <w:rPr>
                <w:rFonts w:hint="eastAsia" w:cs="Times New Roman"/>
                <w:color w:val="auto"/>
                <w:sz w:val="18"/>
                <w:szCs w:val="18"/>
              </w:rPr>
              <w:drawing>
                <wp:inline distT="0" distB="0" distL="114300" distR="114300">
                  <wp:extent cx="2461260" cy="4679950"/>
                  <wp:effectExtent l="0" t="0" r="0" b="6350"/>
                  <wp:docPr id="582599961" name="图片 582599961" descr="169063947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599961" name="图片 582599961" descr="1690639475128"/>
                          <pic:cNvPicPr>
                            <a:picLocks noChangeAspect="1"/>
                          </pic:cNvPicPr>
                        </pic:nvPicPr>
                        <pic:blipFill>
                          <a:blip r:embed="rId29"/>
                          <a:stretch>
                            <a:fillRect/>
                          </a:stretch>
                        </pic:blipFill>
                        <pic:spPr>
                          <a:xfrm>
                            <a:off x="0" y="0"/>
                            <a:ext cx="2461423" cy="4680000"/>
                          </a:xfrm>
                          <a:prstGeom prst="rect">
                            <a:avLst/>
                          </a:prstGeom>
                        </pic:spPr>
                      </pic:pic>
                    </a:graphicData>
                  </a:graphic>
                </wp:inline>
              </w:drawing>
            </w:r>
          </w:p>
        </w:tc>
      </w:tr>
    </w:tbl>
    <w:p>
      <w:pPr>
        <w:snapToGrid w:val="0"/>
        <w:spacing w:line="360" w:lineRule="auto"/>
        <w:ind w:firstLine="480"/>
        <w:rPr>
          <w:rFonts w:cs="Times New Roman"/>
          <w:szCs w:val="21"/>
        </w:rPr>
        <w:sectPr>
          <w:pgSz w:w="16838" w:h="11906" w:orient="landscape"/>
          <w:pgMar w:top="1134" w:right="1418" w:bottom="1134" w:left="1418" w:header="851" w:footer="992" w:gutter="0"/>
          <w:cols w:space="425" w:num="1"/>
          <w:docGrid w:type="lines" w:linePitch="312" w:charSpace="0"/>
        </w:sectPr>
      </w:pPr>
      <w:r>
        <w:rPr>
          <w:sz w:val="18"/>
          <w:szCs w:val="18"/>
        </w:rPr>
        <mc:AlternateContent>
          <mc:Choice Requires="wps">
            <w:drawing>
              <wp:anchor distT="0" distB="0" distL="114300" distR="114300" simplePos="0" relativeHeight="251684864" behindDoc="0" locked="0" layoutInCell="1" allowOverlap="1">
                <wp:simplePos x="0" y="0"/>
                <wp:positionH relativeFrom="column">
                  <wp:posOffset>7037705</wp:posOffset>
                </wp:positionH>
                <wp:positionV relativeFrom="paragraph">
                  <wp:posOffset>-819785</wp:posOffset>
                </wp:positionV>
                <wp:extent cx="8255" cy="781050"/>
                <wp:effectExtent l="62865" t="0" r="62230" b="0"/>
                <wp:wrapNone/>
                <wp:docPr id="242360714" name="直接箭头连接符 242360714"/>
                <wp:cNvGraphicFramePr/>
                <a:graphic xmlns:a="http://schemas.openxmlformats.org/drawingml/2006/main">
                  <a:graphicData uri="http://schemas.microsoft.com/office/word/2010/wordprocessingShape">
                    <wps:wsp>
                      <wps:cNvCnPr/>
                      <wps:spPr>
                        <a:xfrm flipH="1" flipV="1">
                          <a:off x="0" y="0"/>
                          <a:ext cx="8255" cy="781050"/>
                        </a:xfrm>
                        <a:prstGeom prst="straightConnector1">
                          <a:avLst/>
                        </a:prstGeom>
                        <a:ln w="28575" cap="flat" cmpd="sng">
                          <a:solidFill>
                            <a:srgbClr val="FF0000"/>
                          </a:solidFill>
                          <a:prstDash val="solid"/>
                          <a:round/>
                          <a:headEnd type="none" w="med" len="med"/>
                          <a:tailEnd type="arrow" w="med" len="med"/>
                        </a:ln>
                      </wps:spPr>
                      <wps:bodyPr/>
                    </wps:wsp>
                  </a:graphicData>
                </a:graphic>
              </wp:anchor>
            </w:drawing>
          </mc:Choice>
          <mc:Fallback>
            <w:pict>
              <v:shape id="_x0000_s1026" o:spid="_x0000_s1026" o:spt="32" type="#_x0000_t32" style="position:absolute;left:0pt;flip:x y;margin-left:554.15pt;margin-top:-64.55pt;height:61.5pt;width:0.65pt;z-index:251684864;mso-width-relative:page;mso-height-relative:page;" filled="f" stroked="t" coordsize="21600,21600" o:gfxdata="UEsDBAoAAAAAAIdO4kAAAAAAAAAAAAAAAAAEAAAAZHJzL1BLAwQUAAAACACHTuJAIQc9sdoAAAAN&#10;AQAADwAAAGRycy9kb3ducmV2LnhtbE2PwU7DMAyG70i8Q2QkbluSMaqtNJ0mEBIXpG1w4Jg2Jqlo&#10;nKrJ1sHTk53g+Nuffn+uNmffsxOOsQukQM4FMKQ2mI6sgve359kKWEyajO4DoYJvjLCpr68qXZow&#10;0R5Ph2RZLqFYagUupaHkPLYOvY7zMCDl3WcYvU45jpabUU+53Pd8IUTBve4oX3B6wEeH7dfh6BUs&#10;d+nl437a/myfnOVL27zu9i4pdXsjxQOwhOf0B8NFP6tDnZ2acCQTWZ+zFKu7zCqYycVaArswUqwL&#10;YE2eFRJ4XfH/X9S/UEsDBBQAAAAIAIdO4kAjV84fBwIAANADAAAOAAAAZHJzL2Uyb0RvYy54bWyt&#10;U0uOEzEQ3SNxB8t70p1mMola6cwiIbBAEInP3mm7uy35p7InnVyCCyCxAlbAavacBoZjUHaHhN8K&#10;4YVVdlU9v6p6nl/ttSI7AV5aU9HxKKdEmNpyadqKvni+vjejxAdmOFPWiIoehKdXi7t35r0rRWE7&#10;q7gAgiDGl72raBeCK7PM153QzI+sEwadjQXNAh6hzTiwHtG1yoo8v8x6C9yBrYX3eLsanHSR8JtG&#10;1OFp03gRiKoocgtph7Rv454t5qxsgblO1kca7B9YaCYNPnqCWrHAyDXIP6C0rMF624RRbXVmm0bW&#10;ItWA1Yzz36p51jEnUi3YHO9ObfL/D7Z+stsAkbyixUVx/zKfji8oMUzjqG5f33x99e7208cvb2++&#10;fX4T7Q/vyTkMW9c7XyLC0mzgePJuA7EP+wY0aZR0j1AVNFkvoxV9WDXZpxEcTiMQ+0BqvJwVkwkl&#10;NTqms3E+SQPKBriY6sCHh8JqEo2K+gBMtl1YWmNw1BaGB9jusQ9ICBN/JMRkZUiPdc4m0/gEQ7U1&#10;igU0tcP6vWkTO2+V5GupVEzx0G6XCsiOoX7W6xxXlAwC/xIWX1kx3w1xyTUoC+y14ZjAyk4w/sBw&#10;Eg4Oe2vwM9DIRgtOiRL4d6KVIgOT6hzJAGz/91BkoQySiVMY+h6treWHNI50j7JJdI8Sj7r8+Zyy&#10;zx9x8R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hBz2x2gAAAA0BAAAPAAAAAAAAAAEAIAAAACIA&#10;AABkcnMvZG93bnJldi54bWxQSwECFAAUAAAACACHTuJAI1fOHwcCAADQAwAADgAAAAAAAAABACAA&#10;AAApAQAAZHJzL2Uyb0RvYy54bWxQSwUGAAAAAAYABgBZAQAAogUAAAAA&#10;">
                <v:fill on="f" focussize="0,0"/>
                <v:stroke weight="2.25pt" color="#FF0000" joinstyle="round" endarrow="open"/>
                <v:imagedata o:title=""/>
                <o:lock v:ext="edit" aspectratio="f"/>
              </v:shape>
            </w:pict>
          </mc:Fallback>
        </mc:AlternateContent>
      </w:r>
      <w:r>
        <w:rPr>
          <w:sz w:val="18"/>
          <w:szCs w:val="18"/>
        </w:rPr>
        <mc:AlternateContent>
          <mc:Choice Requires="wps">
            <w:drawing>
              <wp:anchor distT="0" distB="0" distL="114300" distR="114300" simplePos="0" relativeHeight="251686912" behindDoc="0" locked="0" layoutInCell="1" allowOverlap="1">
                <wp:simplePos x="0" y="0"/>
                <wp:positionH relativeFrom="column">
                  <wp:posOffset>7054215</wp:posOffset>
                </wp:positionH>
                <wp:positionV relativeFrom="paragraph">
                  <wp:posOffset>-934720</wp:posOffset>
                </wp:positionV>
                <wp:extent cx="528955" cy="389255"/>
                <wp:effectExtent l="69850" t="0" r="0" b="0"/>
                <wp:wrapNone/>
                <wp:docPr id="7" name="文本框 7"/>
                <wp:cNvGraphicFramePr/>
                <a:graphic xmlns:a="http://schemas.openxmlformats.org/drawingml/2006/main">
                  <a:graphicData uri="http://schemas.microsoft.com/office/word/2010/wordprocessingShape">
                    <wps:wsp>
                      <wps:cNvSpPr txBox="1"/>
                      <wps:spPr>
                        <a:xfrm rot="5400000">
                          <a:off x="0" y="0"/>
                          <a:ext cx="528955" cy="389255"/>
                        </a:xfrm>
                        <a:prstGeom prst="rect">
                          <a:avLst/>
                        </a:prstGeom>
                        <a:noFill/>
                        <a:ln>
                          <a:noFill/>
                        </a:ln>
                      </wps:spPr>
                      <wps:txbx>
                        <w:txbxContent>
                          <w:p>
                            <w:pPr>
                              <w:jc w:val="center"/>
                              <w:rPr>
                                <w:color w:val="FF0000"/>
                                <w:sz w:val="30"/>
                                <w:szCs w:val="30"/>
                              </w:rPr>
                            </w:pPr>
                            <w:r>
                              <w:rPr>
                                <w:rFonts w:hint="eastAsia"/>
                                <w:color w:val="FF0000"/>
                                <w:sz w:val="30"/>
                                <w:szCs w:val="30"/>
                              </w:rPr>
                              <w:t>y</w:t>
                            </w:r>
                          </w:p>
                        </w:txbxContent>
                      </wps:txbx>
                      <wps:bodyPr upright="1"/>
                    </wps:wsp>
                  </a:graphicData>
                </a:graphic>
              </wp:anchor>
            </w:drawing>
          </mc:Choice>
          <mc:Fallback>
            <w:pict>
              <v:shape id="_x0000_s1026" o:spid="_x0000_s1026" o:spt="202" type="#_x0000_t202" style="position:absolute;left:0pt;margin-left:555.45pt;margin-top:-73.6pt;height:30.65pt;width:41.65pt;rotation:5898240f;z-index:251686912;mso-width-relative:page;mso-height-relative:page;" filled="f" stroked="f" coordsize="21600,21600" o:gfxdata="UEsDBAoAAAAAAIdO4kAAAAAAAAAAAAAAAAAEAAAAZHJzL1BLAwQUAAAACACHTuJA1BuwvdsAAAAO&#10;AQAADwAAAGRycy9kb3ducmV2LnhtbE2PwW7CMBBE75X6D9ZW6g1sIwokxEEqEj20uUD7ASY2SdR4&#10;HcUOSfv1XU7ltrM7mn2T7SbXsqvtQ+NRgZwLYBZLbxqsFHx9HmYbYCFqNLr1aBX82AC7/PEh06nx&#10;Ix7t9RQrRiEYUq2gjrFLOQ9lbZ0Oc99ZpNvF905Hkn3FTa9HCnctXwix4k43SB9q3dl9bcvv0+AU&#10;DONHi/v3onhbrX+Ph6KUxfQqlXp+kmILLNop/pvhhk/okBPT2Q9oAmtJSykS8iqYyeV6AezmkcmS&#10;pjPtNi8J8Dzj9zXyP1BLAwQUAAAACACHTuJAdAuIA5oBAAANAwAADgAAAGRycy9lMm9Eb2MueG1s&#10;rVLBbhMxEL1X4h8s34m3gdB0lU0kFJULKkiFD3C8dtbS2mON3ezmB+APeuLCne/Kd3TspAHaG8KH&#10;kT3z9GbeGy9Wo+vZTmO04Bt+Oak4015Ba/224V+/3LyecxaT9K3sweuG73Xkq+Wri8UQaj2FDvpW&#10;IyMSH+shNLxLKdRCRNVpJ+MEgvZUNIBOJnriVrQoB2J3vZhW1TsxALYBQekYKbs+Fvmy8BujVfpk&#10;TNSJ9Q2n2VKJWOImR7FcyHqLMnRWncaQ/zCFk9ZT0zPVWibJ7tG+oHJWIUQwaaLACTDGKl00kJrL&#10;6pmau04GXbSQOTGcbYr/j1bd7j4js23Drzjz0tGKDg/fDz9+HX5+Y1fZniHEmlB3gXBpfA8jrfkp&#10;HymZVY8GHUMgd2dvq3yKF6SOEZps35+t1mNiipKz6fx6NuNMUenN/HpKd+oljlSZMmBMHzQ4li8N&#10;R9pkIZW7jzEdoU+QDPdwY/u+bLP3fyWIM2dE1nGcN9/SuBlP4jbQ7knbfUC77ahVUVfg5HmZ6fQ/&#10;8lL/fBfS3794+Qh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DUG7C92wAAAA4BAAAPAAAAAAAAAAEA&#10;IAAAACIAAABkcnMvZG93bnJldi54bWxQSwECFAAUAAAACACHTuJAdAuIA5oBAAANAwAADgAAAAAA&#10;AAABACAAAAAqAQAAZHJzL2Uyb0RvYy54bWxQSwUGAAAAAAYABgBZAQAANgUAAAAA&#10;">
                <v:fill on="f" focussize="0,0"/>
                <v:stroke on="f"/>
                <v:imagedata o:title=""/>
                <o:lock v:ext="edit" aspectratio="f"/>
                <v:textbox>
                  <w:txbxContent>
                    <w:p>
                      <w:pPr>
                        <w:jc w:val="center"/>
                        <w:rPr>
                          <w:color w:val="FF0000"/>
                          <w:sz w:val="30"/>
                          <w:szCs w:val="30"/>
                        </w:rPr>
                      </w:pPr>
                      <w:r>
                        <w:rPr>
                          <w:rFonts w:hint="eastAsia"/>
                          <w:color w:val="FF0000"/>
                          <w:sz w:val="30"/>
                          <w:szCs w:val="30"/>
                        </w:rPr>
                        <w:t>y</w:t>
                      </w:r>
                    </w:p>
                  </w:txbxContent>
                </v:textbox>
              </v:shape>
            </w:pict>
          </mc:Fallback>
        </mc:AlternateContent>
      </w:r>
      <w:r>
        <w:rPr>
          <w:sz w:val="18"/>
          <w:szCs w:val="18"/>
        </w:rPr>
        <mc:AlternateContent>
          <mc:Choice Requires="wps">
            <w:drawing>
              <wp:anchor distT="0" distB="0" distL="114300" distR="114300" simplePos="0" relativeHeight="251685888" behindDoc="0" locked="0" layoutInCell="1" allowOverlap="1">
                <wp:simplePos x="0" y="0"/>
                <wp:positionH relativeFrom="column">
                  <wp:posOffset>7338060</wp:posOffset>
                </wp:positionH>
                <wp:positionV relativeFrom="paragraph">
                  <wp:posOffset>-460375</wp:posOffset>
                </wp:positionV>
                <wp:extent cx="474980" cy="389255"/>
                <wp:effectExtent l="43180" t="0" r="0" b="0"/>
                <wp:wrapNone/>
                <wp:docPr id="1171392779" name="文本框 1171392779"/>
                <wp:cNvGraphicFramePr/>
                <a:graphic xmlns:a="http://schemas.openxmlformats.org/drawingml/2006/main">
                  <a:graphicData uri="http://schemas.microsoft.com/office/word/2010/wordprocessingShape">
                    <wps:wsp>
                      <wps:cNvSpPr txBox="1"/>
                      <wps:spPr>
                        <a:xfrm rot="5400000">
                          <a:off x="0" y="0"/>
                          <a:ext cx="474980" cy="389255"/>
                        </a:xfrm>
                        <a:prstGeom prst="rect">
                          <a:avLst/>
                        </a:prstGeom>
                        <a:noFill/>
                        <a:ln>
                          <a:noFill/>
                        </a:ln>
                      </wps:spPr>
                      <wps:txbx>
                        <w:txbxContent>
                          <w:p>
                            <w:pPr>
                              <w:jc w:val="center"/>
                              <w:rPr>
                                <w:color w:val="FF0000"/>
                                <w:sz w:val="30"/>
                                <w:szCs w:val="30"/>
                              </w:rPr>
                            </w:pPr>
                            <w:r>
                              <w:rPr>
                                <w:rFonts w:hint="eastAsia"/>
                                <w:color w:val="FF0000"/>
                                <w:sz w:val="30"/>
                                <w:szCs w:val="30"/>
                              </w:rPr>
                              <w:t>x</w:t>
                            </w:r>
                          </w:p>
                        </w:txbxContent>
                      </wps:txbx>
                      <wps:bodyPr upright="1"/>
                    </wps:wsp>
                  </a:graphicData>
                </a:graphic>
              </wp:anchor>
            </w:drawing>
          </mc:Choice>
          <mc:Fallback>
            <w:pict>
              <v:shape id="_x0000_s1026" o:spid="_x0000_s1026" o:spt="202" type="#_x0000_t202" style="position:absolute;left:0pt;margin-left:577.8pt;margin-top:-36.25pt;height:30.65pt;width:37.4pt;rotation:5898240f;z-index:251685888;mso-width-relative:page;mso-height-relative:page;" filled="f" stroked="f" coordsize="21600,21600" o:gfxdata="UEsDBAoAAAAAAIdO4kAAAAAAAAAAAAAAAAAEAAAAZHJzL1BLAwQUAAAACACHTuJAAcPSRdoAAAAN&#10;AQAADwAAAGRycy9kb3ducmV2LnhtbE2PQU7DMBBF90jcwRokdq3tQFIU4lSiUllANi0cwE1MEmGP&#10;o9hpAqdnuqLLP/P0502xXZxlZzOG3qMCuRbADNa+6bFV8PmxXz0BC1Fjo61Ho+DHBNiWtzeFzhs/&#10;48Gcj7FlVIIh1wq6GIec81B3xumw9oNB2n350elIcWx5M+qZyp3liRAZd7pHutDpwew6U38fJ6dg&#10;mt8t7t6q6jXb/B72VS2r5UUqdX8nxTOwaJb4D8NFn9ShJKeTn7AJzFKWaZoRq2C1SVJgFyR5EI/A&#10;TjSSMgFeFvz6i/IPUEsDBBQAAAAIAIdO4kCBEavIowEAAB8DAAAOAAAAZHJzL2Uyb0RvYy54bWyt&#10;UktuIyEQ3Y+UOyD2MW3HHtsttyNFUbKJZkZKcgBMgxupoRAQd/sCyQ1mNZvZz7l8jimw4/x2UVgg&#10;eFX1qPeKxXlvWrKRPmiwFR0OCkqkFVBru67o/d3V6YySELmteQtWVnQrAz1fnnxbdK6UI2igraUn&#10;SGJD2bmKNjG6krEgGml4GICTFoMKvOERr37Nas87ZDctGxXFd9aBr50HIUNA9HIfpMvMr5QU8adS&#10;QUbSVhR7i3n3eV+lnS0XvFx77hotDm3wT3RhuLb46JHqkkdOHrz+QGW08BBAxYEAw0ApLWTWgGqG&#10;xTs1tw13MmtBc4I72hS+jlb82PzyRNc4u+F0eDYfTadzSiw3OKvd76fdn3+7v4/kVQwN61wose7W&#10;YWXsL6DH4mRkwgOCyYdeeUM8oN+TcZFWdgf1EszGQWyP5ss+EoHgeDqezzAiMHQ2m48mk8TJ9lSJ&#10;0vkQryUYkg4V9TjbTMo3NyHuU59TUrqFK922iPOytW8A5EwIe+k3nWK/6g8iVlBvUduD83rd4FNZ&#10;XU7HKeSeDj8mjfn1PZO+/Ovl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AHD0kXaAAAADQEAAA8A&#10;AAAAAAAAAQAgAAAAIgAAAGRycy9kb3ducmV2LnhtbFBLAQIUABQAAAAIAIdO4kCBEavIowEAAB8D&#10;AAAOAAAAAAAAAAEAIAAAACkBAABkcnMvZTJvRG9jLnhtbFBLBQYAAAAABgAGAFkBAAA+BQAAAAA=&#10;">
                <v:fill on="f" focussize="0,0"/>
                <v:stroke on="f"/>
                <v:imagedata o:title=""/>
                <o:lock v:ext="edit" aspectratio="f"/>
                <v:textbox>
                  <w:txbxContent>
                    <w:p>
                      <w:pPr>
                        <w:jc w:val="center"/>
                        <w:rPr>
                          <w:color w:val="FF0000"/>
                          <w:sz w:val="30"/>
                          <w:szCs w:val="30"/>
                        </w:rPr>
                      </w:pPr>
                      <w:r>
                        <w:rPr>
                          <w:rFonts w:hint="eastAsia"/>
                          <w:color w:val="FF0000"/>
                          <w:sz w:val="30"/>
                          <w:szCs w:val="30"/>
                        </w:rPr>
                        <w:t>x</w:t>
                      </w:r>
                    </w:p>
                  </w:txbxContent>
                </v:textbox>
              </v:shape>
            </w:pict>
          </mc:Fallback>
        </mc:AlternateContent>
      </w:r>
      <w:r>
        <w:rPr>
          <w:sz w:val="18"/>
          <w:szCs w:val="18"/>
        </w:rPr>
        <mc:AlternateContent>
          <mc:Choice Requires="wps">
            <w:drawing>
              <wp:anchor distT="0" distB="0" distL="114300" distR="114300" simplePos="0" relativeHeight="251683840" behindDoc="0" locked="0" layoutInCell="1" allowOverlap="1">
                <wp:simplePos x="0" y="0"/>
                <wp:positionH relativeFrom="column">
                  <wp:posOffset>7059295</wp:posOffset>
                </wp:positionH>
                <wp:positionV relativeFrom="paragraph">
                  <wp:posOffset>-46990</wp:posOffset>
                </wp:positionV>
                <wp:extent cx="574040" cy="6350"/>
                <wp:effectExtent l="0" t="62865" r="16510" b="64135"/>
                <wp:wrapNone/>
                <wp:docPr id="41618087" name="直接箭头连接符 41618087"/>
                <wp:cNvGraphicFramePr/>
                <a:graphic xmlns:a="http://schemas.openxmlformats.org/drawingml/2006/main">
                  <a:graphicData uri="http://schemas.microsoft.com/office/word/2010/wordprocessingShape">
                    <wps:wsp>
                      <wps:cNvCnPr/>
                      <wps:spPr>
                        <a:xfrm flipV="1">
                          <a:off x="0" y="0"/>
                          <a:ext cx="574040" cy="6350"/>
                        </a:xfrm>
                        <a:prstGeom prst="straightConnector1">
                          <a:avLst/>
                        </a:prstGeom>
                        <a:ln w="28575" cap="flat" cmpd="sng">
                          <a:solidFill>
                            <a:srgbClr val="FF0000"/>
                          </a:solidFill>
                          <a:prstDash val="solid"/>
                          <a:round/>
                          <a:headEnd type="none" w="med" len="med"/>
                          <a:tailEnd type="arrow" w="med" len="med"/>
                        </a:ln>
                      </wps:spPr>
                      <wps:bodyPr/>
                    </wps:wsp>
                  </a:graphicData>
                </a:graphic>
              </wp:anchor>
            </w:drawing>
          </mc:Choice>
          <mc:Fallback>
            <w:pict>
              <v:shape id="_x0000_s1026" o:spid="_x0000_s1026" o:spt="32" type="#_x0000_t32" style="position:absolute;left:0pt;flip:y;margin-left:555.85pt;margin-top:-3.7pt;height:0.5pt;width:45.2pt;z-index:251683840;mso-width-relative:page;mso-height-relative:page;" filled="f" stroked="t" coordsize="21600,21600" o:gfxdata="UEsDBAoAAAAAAIdO4kAAAAAAAAAAAAAAAAAEAAAAZHJzL1BLAwQUAAAACACHTuJAPRYz8tsAAAAL&#10;AQAADwAAAGRycy9kb3ducmV2LnhtbE2PzU7DMBCE70i8g7VIXFBrJ1RtFeJUCKkCpB7agsTVjZck&#10;xV5HsfsDT8/2BHub3dHsN+Xi7J044hC7QBqysQKBVAfbUaPh/W05moOIyZA1LhBq+MYIi+r6qjSF&#10;DSfa4HGbGsEhFAujoU2pL6SMdYvexHHokfj2GQZvEsuhkXYwJw73TuZKTaU3HfGH1vT41GL9tT14&#10;DT/rfvX4+rFq8EXO7/b7Z3LLzb3WtzeZegCR8Jz+zHDBZ3SomGkXDmSjcKx5ZuzVMJpNQFwcucoz&#10;EDveTCcgq1L+71D9AlBLAwQUAAAACACHTuJAiR4azAICAADEAwAADgAAAGRycy9lMm9Eb2MueG1s&#10;rVNLjhMxEN0jcQfLe9KdkJ9a6cwiIWwQRAJmX2m7uy35J9uTTi7BBZBYASuG1ew5Dcwcg7I7ZPit&#10;EF5YZbvq1atX5cXFQUmy584Lo0s6HOSUcF0ZJnRT0tevNo/mlPgAmoE0mpf0yD29WD58sOhswUem&#10;NZJxRxBE+6KzJW1DsEWW+arlCvzAWK7xsTZOQcCjazLmoEN0JbNRnk+zzjhmnam493i77h/pMuHX&#10;Na/Ci7r2PBBZUuQW0u7Svot7tlxA0TiwrahONOAfWCgQGpOeodYQgFw58QeUEpUz3tRhUBmVmboW&#10;FU81YDXD/LdqXrZgeaoFxfH2LJP/f7DV8/3WEcFKOh5Oh/N8PqNEg8JO3b69+fbmw+3n66/vb+6+&#10;vIv2p4/k7IXCddYXGL/SW3c6ebt1UYVD7RSppbCXOBNJF6yUHJLsx7Ps/BBIhZeT2TgfY3MqfJo+&#10;nqSmZD1IBLPOh6fcKBKNkvrgQDRtWBmtsb3G9Qlg/8wHpIGBPwJisNSkK+loPplNMAHghNUSAprK&#10;Ys1eN4mdN1KwjZAyhnjX7FbSkT3gzGw2Oa44Jgj8i1vMsgbf9n7pqZ8mZ640wwAoWg7siWYkHC0K&#10;qvED0MhGcUaJ5PhfopU8Awh57wnOme7vrshCaiQTte/VjtbOsGNqQrrHUUl0T2MdZ/Hnc4q+/3zL&#10;7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0WM/LbAAAACwEAAA8AAAAAAAAAAQAgAAAAIgAAAGRy&#10;cy9kb3ducmV2LnhtbFBLAQIUABQAAAAIAIdO4kCJHhrMAgIAAMQDAAAOAAAAAAAAAAEAIAAAACoB&#10;AABkcnMvZTJvRG9jLnhtbFBLBQYAAAAABgAGAFkBAACeBQAAAAA=&#10;">
                <v:fill on="f" focussize="0,0"/>
                <v:stroke weight="2.25pt" color="#FF0000" joinstyle="round" endarrow="open"/>
                <v:imagedata o:title=""/>
                <o:lock v:ext="edit" aspectratio="f"/>
              </v:shape>
            </w:pict>
          </mc:Fallback>
        </mc:AlternateContent>
      </w:r>
      <w:r>
        <w:rPr>
          <w:rFonts w:hint="eastAsia" w:cs="Times New Roman"/>
          <w:szCs w:val="21"/>
        </w:rPr>
        <w:t>说明：h为预测导线离地高度。</w:t>
      </w:r>
    </w:p>
    <w:p>
      <w:pPr>
        <w:keepNext/>
        <w:keepLines/>
        <w:spacing w:line="360" w:lineRule="auto"/>
        <w:outlineLvl w:val="3"/>
        <w:rPr>
          <w:rFonts w:cs="Times New Roman"/>
          <w:b/>
          <w:bCs/>
          <w:szCs w:val="28"/>
        </w:rPr>
      </w:pPr>
      <w:r>
        <w:rPr>
          <w:rFonts w:eastAsia="黑体" w:cs="Times New Roman"/>
          <w:szCs w:val="28"/>
        </w:rPr>
        <w:t>5.2.4  预测</w:t>
      </w:r>
      <w:r>
        <w:rPr>
          <w:rFonts w:hint="eastAsia" w:eastAsia="黑体" w:cs="Times New Roman"/>
          <w:szCs w:val="28"/>
        </w:rPr>
        <w:t>内容</w:t>
      </w:r>
    </w:p>
    <w:p>
      <w:pPr>
        <w:snapToGrid w:val="0"/>
        <w:spacing w:line="360" w:lineRule="auto"/>
        <w:ind w:firstLine="480"/>
        <w:rPr>
          <w:rFonts w:cs="Times New Roman"/>
          <w:szCs w:val="21"/>
        </w:rPr>
      </w:pPr>
      <w:bookmarkStart w:id="69" w:name="_Hlk141428974"/>
      <w:r>
        <w:rPr>
          <w:rFonts w:hint="eastAsia" w:cs="Times New Roman"/>
          <w:kern w:val="0"/>
          <w:szCs w:val="21"/>
        </w:rPr>
        <w:t>根据《110～750kV架空输电线路设计规范》（GB50545-2010），在最大计算弧垂情况下，经过居民区时对地距离不小于7.0m。经过非居民区时对地距离不小于6.0m。因此预测线路对地距离为6.0m、7.0m时地面1.5m处的电磁环境影响衰减规律。</w:t>
      </w:r>
    </w:p>
    <w:p>
      <w:pPr>
        <w:keepNext/>
        <w:keepLines/>
        <w:spacing w:line="360" w:lineRule="auto"/>
        <w:outlineLvl w:val="3"/>
        <w:rPr>
          <w:rFonts w:cs="Times New Roman"/>
          <w:b/>
          <w:bCs/>
          <w:szCs w:val="28"/>
        </w:rPr>
      </w:pPr>
      <w:r>
        <w:rPr>
          <w:rFonts w:eastAsia="黑体" w:cs="Times New Roman"/>
          <w:szCs w:val="28"/>
        </w:rPr>
        <w:t>5.2.5  预测结果及评价</w:t>
      </w:r>
    </w:p>
    <w:p>
      <w:pPr>
        <w:snapToGrid w:val="0"/>
        <w:spacing w:line="360" w:lineRule="auto"/>
        <w:ind w:firstLine="480"/>
        <w:rPr>
          <w:rFonts w:cs="Times New Roman"/>
          <w:kern w:val="0"/>
          <w:sz w:val="24"/>
        </w:rPr>
      </w:pPr>
      <w:r>
        <w:rPr>
          <w:rFonts w:hint="eastAsia" w:cs="Times New Roman"/>
          <w:szCs w:val="21"/>
        </w:rPr>
        <w:t>在导线对地高度为6m、7m时地面1.5m处的工频电磁场分布情况</w:t>
      </w:r>
      <w:r>
        <w:rPr>
          <w:rFonts w:cs="Times New Roman"/>
          <w:szCs w:val="21"/>
        </w:rPr>
        <w:t>见表5-6及图5-</w:t>
      </w:r>
      <w:r>
        <w:rPr>
          <w:rFonts w:hint="eastAsia" w:cs="Times New Roman"/>
          <w:szCs w:val="21"/>
        </w:rPr>
        <w:t>1</w:t>
      </w:r>
      <w:r>
        <w:rPr>
          <w:rFonts w:cs="Times New Roman"/>
          <w:szCs w:val="21"/>
        </w:rPr>
        <w:t>、5-</w:t>
      </w:r>
      <w:r>
        <w:rPr>
          <w:rFonts w:hint="eastAsia" w:cs="Times New Roman"/>
          <w:szCs w:val="21"/>
        </w:rPr>
        <w:t>2</w:t>
      </w:r>
      <w:r>
        <w:rPr>
          <w:rFonts w:cs="Times New Roman"/>
          <w:kern w:val="0"/>
          <w:sz w:val="24"/>
        </w:rPr>
        <w:t>。</w:t>
      </w:r>
    </w:p>
    <w:p>
      <w:pPr>
        <w:jc w:val="center"/>
        <w:rPr>
          <w:rFonts w:eastAsia="黑体" w:cs="Times New Roman"/>
          <w:sz w:val="18"/>
          <w:szCs w:val="21"/>
        </w:rPr>
      </w:pPr>
      <w:r>
        <w:rPr>
          <w:rFonts w:eastAsia="黑体" w:cs="Times New Roman"/>
          <w:sz w:val="18"/>
          <w:szCs w:val="21"/>
        </w:rPr>
        <w:t>本</w:t>
      </w:r>
      <w:r>
        <w:rPr>
          <w:rFonts w:hint="eastAsia" w:eastAsia="黑体" w:cs="Times New Roman"/>
          <w:sz w:val="18"/>
          <w:szCs w:val="21"/>
        </w:rPr>
        <w:t>项目</w:t>
      </w:r>
      <w:r>
        <w:rPr>
          <w:rFonts w:eastAsia="黑体" w:cs="Times New Roman"/>
          <w:sz w:val="18"/>
          <w:szCs w:val="21"/>
        </w:rPr>
        <w:t>同塔双回线路段电磁环境预测结果一览表</w:t>
      </w:r>
    </w:p>
    <w:p>
      <w:pPr>
        <w:rPr>
          <w:rFonts w:eastAsia="黑体" w:cs="Times New Roman"/>
        </w:rPr>
      </w:pPr>
      <w:r>
        <w:rPr>
          <w:rFonts w:eastAsia="黑体" w:cs="Times New Roman"/>
          <w:sz w:val="18"/>
          <w:szCs w:val="21"/>
        </w:rPr>
        <w:t>表5-</w:t>
      </w:r>
      <w:r>
        <w:rPr>
          <w:rFonts w:hint="eastAsia" w:eastAsia="黑体" w:cs="Times New Roman"/>
          <w:sz w:val="18"/>
          <w:szCs w:val="21"/>
        </w:rPr>
        <w:t>2</w:t>
      </w:r>
    </w:p>
    <w:tbl>
      <w:tblPr>
        <w:tblStyle w:val="25"/>
        <w:tblW w:w="86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761"/>
        <w:gridCol w:w="1765"/>
        <w:gridCol w:w="1777"/>
        <w:gridCol w:w="1858"/>
        <w:gridCol w:w="1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1522" w:type="dxa"/>
            <w:gridSpan w:val="2"/>
            <w:vMerge w:val="restart"/>
            <w:shd w:val="clear" w:color="auto" w:fill="DBEEF3"/>
            <w:noWrap/>
            <w:vAlign w:val="center"/>
          </w:tcPr>
          <w:p>
            <w:pPr>
              <w:widowControl/>
              <w:jc w:val="center"/>
              <w:textAlignment w:val="center"/>
              <w:rPr>
                <w:kern w:val="0"/>
                <w:szCs w:val="21"/>
                <w:lang w:bidi="ar"/>
              </w:rPr>
            </w:pPr>
            <w:r>
              <w:rPr>
                <w:rFonts w:cs="Times New Roman"/>
                <w:kern w:val="0"/>
                <w:szCs w:val="21"/>
                <w:lang w:bidi="ar"/>
              </w:rPr>
              <w:t>距</w:t>
            </w:r>
            <w:r>
              <w:rPr>
                <w:rFonts w:hint="eastAsia" w:cs="Times New Roman"/>
                <w:kern w:val="0"/>
                <w:szCs w:val="21"/>
                <w:lang w:bidi="ar"/>
              </w:rPr>
              <w:t>杆塔中心</w:t>
            </w:r>
            <w:r>
              <w:rPr>
                <w:rFonts w:cs="Times New Roman"/>
                <w:kern w:val="0"/>
                <w:szCs w:val="21"/>
                <w:lang w:bidi="ar"/>
              </w:rPr>
              <w:t>水平距离（m）</w:t>
            </w:r>
          </w:p>
        </w:tc>
        <w:tc>
          <w:tcPr>
            <w:tcW w:w="3542" w:type="dxa"/>
            <w:gridSpan w:val="2"/>
            <w:shd w:val="clear" w:color="auto" w:fill="DBEEF3"/>
            <w:noWrap/>
            <w:vAlign w:val="center"/>
          </w:tcPr>
          <w:p>
            <w:pPr>
              <w:widowControl/>
              <w:jc w:val="center"/>
              <w:textAlignment w:val="center"/>
              <w:rPr>
                <w:kern w:val="0"/>
                <w:szCs w:val="21"/>
                <w:lang w:bidi="ar"/>
              </w:rPr>
            </w:pPr>
            <w:r>
              <w:rPr>
                <w:rFonts w:hint="eastAsia" w:cs="Times New Roman"/>
                <w:szCs w:val="21"/>
              </w:rPr>
              <w:t>双回架空</w:t>
            </w:r>
            <w:r>
              <w:rPr>
                <w:rFonts w:hint="eastAsia" w:cs="Times New Roman"/>
                <w:kern w:val="0"/>
                <w:szCs w:val="21"/>
                <w:lang w:bidi="ar"/>
              </w:rPr>
              <w:t>对地6.0m地面1.5m</w:t>
            </w:r>
          </w:p>
        </w:tc>
        <w:tc>
          <w:tcPr>
            <w:tcW w:w="3600" w:type="dxa"/>
            <w:gridSpan w:val="2"/>
            <w:shd w:val="clear" w:color="auto" w:fill="DBEEF3"/>
            <w:noWrap/>
            <w:vAlign w:val="center"/>
          </w:tcPr>
          <w:p>
            <w:pPr>
              <w:widowControl/>
              <w:jc w:val="center"/>
              <w:textAlignment w:val="center"/>
              <w:rPr>
                <w:kern w:val="0"/>
                <w:szCs w:val="21"/>
                <w:lang w:bidi="ar"/>
              </w:rPr>
            </w:pPr>
            <w:r>
              <w:rPr>
                <w:rFonts w:hint="eastAsia" w:cs="Times New Roman"/>
                <w:szCs w:val="21"/>
              </w:rPr>
              <w:t>双回架空</w:t>
            </w:r>
            <w:r>
              <w:rPr>
                <w:rFonts w:hint="eastAsia" w:cs="Times New Roman"/>
                <w:kern w:val="0"/>
                <w:szCs w:val="21"/>
                <w:lang w:bidi="ar"/>
              </w:rPr>
              <w:t>对地7.0m地面1.5m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1522" w:type="dxa"/>
            <w:gridSpan w:val="2"/>
            <w:vMerge w:val="continue"/>
            <w:shd w:val="clear" w:color="auto" w:fill="DBEEF3"/>
            <w:noWrap/>
            <w:vAlign w:val="center"/>
          </w:tcPr>
          <w:p>
            <w:pPr>
              <w:widowControl/>
              <w:jc w:val="center"/>
              <w:textAlignment w:val="center"/>
              <w:rPr>
                <w:kern w:val="0"/>
                <w:szCs w:val="21"/>
                <w:lang w:bidi="ar"/>
              </w:rPr>
            </w:pPr>
          </w:p>
        </w:tc>
        <w:tc>
          <w:tcPr>
            <w:tcW w:w="1765" w:type="dxa"/>
            <w:shd w:val="clear" w:color="auto" w:fill="DBEEF3"/>
            <w:noWrap/>
            <w:vAlign w:val="center"/>
          </w:tcPr>
          <w:p>
            <w:pPr>
              <w:widowControl/>
              <w:jc w:val="center"/>
              <w:textAlignment w:val="center"/>
              <w:rPr>
                <w:kern w:val="0"/>
                <w:szCs w:val="21"/>
                <w:lang w:bidi="ar"/>
              </w:rPr>
            </w:pPr>
            <w:r>
              <w:rPr>
                <w:rFonts w:cs="Times New Roman"/>
                <w:kern w:val="0"/>
                <w:szCs w:val="21"/>
                <w:lang w:bidi="ar"/>
              </w:rPr>
              <w:t>电场强度（kV/m）</w:t>
            </w:r>
          </w:p>
        </w:tc>
        <w:tc>
          <w:tcPr>
            <w:tcW w:w="1777" w:type="dxa"/>
            <w:shd w:val="clear" w:color="auto" w:fill="DBEEF3"/>
            <w:noWrap/>
            <w:vAlign w:val="center"/>
          </w:tcPr>
          <w:p>
            <w:pPr>
              <w:widowControl/>
              <w:jc w:val="center"/>
              <w:textAlignment w:val="center"/>
              <w:rPr>
                <w:kern w:val="0"/>
                <w:szCs w:val="21"/>
                <w:lang w:bidi="ar"/>
              </w:rPr>
            </w:pPr>
            <w:r>
              <w:rPr>
                <w:rFonts w:cs="Times New Roman"/>
                <w:kern w:val="0"/>
                <w:szCs w:val="21"/>
                <w:lang w:bidi="ar"/>
              </w:rPr>
              <w:t>磁感应强度（μT）</w:t>
            </w:r>
          </w:p>
        </w:tc>
        <w:tc>
          <w:tcPr>
            <w:tcW w:w="1858" w:type="dxa"/>
            <w:shd w:val="clear" w:color="auto" w:fill="DBEEF3"/>
            <w:noWrap/>
            <w:vAlign w:val="center"/>
          </w:tcPr>
          <w:p>
            <w:pPr>
              <w:widowControl/>
              <w:jc w:val="center"/>
              <w:textAlignment w:val="center"/>
              <w:rPr>
                <w:kern w:val="0"/>
                <w:szCs w:val="21"/>
                <w:lang w:bidi="ar"/>
              </w:rPr>
            </w:pPr>
            <w:r>
              <w:rPr>
                <w:rFonts w:cs="Times New Roman"/>
                <w:kern w:val="0"/>
                <w:szCs w:val="21"/>
                <w:lang w:bidi="ar"/>
              </w:rPr>
              <w:t>电场强度（kV/m）</w:t>
            </w:r>
          </w:p>
        </w:tc>
        <w:tc>
          <w:tcPr>
            <w:tcW w:w="1742" w:type="dxa"/>
            <w:shd w:val="clear" w:color="auto" w:fill="DBEEF3"/>
            <w:noWrap/>
            <w:vAlign w:val="center"/>
          </w:tcPr>
          <w:p>
            <w:pPr>
              <w:widowControl/>
              <w:jc w:val="center"/>
              <w:textAlignment w:val="center"/>
              <w:rPr>
                <w:kern w:val="0"/>
                <w:szCs w:val="21"/>
                <w:lang w:bidi="ar"/>
              </w:rPr>
            </w:pPr>
            <w:r>
              <w:rPr>
                <w:rFonts w:cs="Times New Roman"/>
                <w:kern w:val="0"/>
                <w:szCs w:val="21"/>
                <w:lang w:bidi="ar"/>
              </w:rPr>
              <w:t>磁感应强度（μT）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0</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2.130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9.924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1.993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10.251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2.197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10.626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2.021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10.579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2.364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12.411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2.087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11.435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3</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2.543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14.590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2.146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12.503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4</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2.619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16.431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2.143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13.417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5</w:t>
            </w:r>
            <w:r>
              <w:rPr>
                <w:rFonts w:hint="eastAsia" w:cs="Times New Roman"/>
                <w:kern w:val="0"/>
                <w:sz w:val="18"/>
                <w:szCs w:val="18"/>
                <w:lang w:bidi="ar"/>
              </w:rPr>
              <w:t>（边导线）</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2.509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17.369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2.039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13.899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6</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2.217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17.244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1.836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13.841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7</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1.823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16.304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1.567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13.313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8</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1.415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14.938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1.275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12.476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9</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1.051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13.450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0.997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11.490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10</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0.752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12.014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0.753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10.474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11</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0.521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10.704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0.551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9.495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12</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0.350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9.541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0.389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8.589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13</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0.232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8.523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0.266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7.767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14</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0.165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7.636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0.177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7.032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15</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0.144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6.865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0.123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6.378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16</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0.150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6.194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0.105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5.798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17</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0.165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5.609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0.111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5.285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18</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0.179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5.096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0.126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4.829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19</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0.190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4.647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0.140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4.425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20</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0.197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4.251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0.152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4.065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21</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0.200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3.901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0.160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3.745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22</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0.201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3.590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0.165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3.458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23</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0.200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3.314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0.168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3.201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24</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0.197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3.067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0.169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2.971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25</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0.193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2.846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0.168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2.763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26</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0.189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2.647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0.166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2.575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27</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0.183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2.467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0.163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2.405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28</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0.178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2.305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0.160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2.251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29</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0.172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2.158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0.156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2.110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30</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0.166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2.024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0.152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1.982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31</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0.160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1.902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0.148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1.865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noWrap/>
            <w:vAlign w:val="center"/>
          </w:tcPr>
          <w:p>
            <w:pPr>
              <w:widowControl/>
              <w:jc w:val="center"/>
              <w:textAlignment w:val="center"/>
              <w:rPr>
                <w:kern w:val="0"/>
                <w:sz w:val="18"/>
                <w:szCs w:val="18"/>
                <w:lang w:bidi="ar"/>
              </w:rPr>
            </w:pPr>
            <w:r>
              <w:rPr>
                <w:rFonts w:cs="Times New Roman"/>
                <w:kern w:val="0"/>
                <w:sz w:val="18"/>
                <w:szCs w:val="18"/>
                <w:lang w:bidi="ar"/>
              </w:rPr>
              <w:t>32</w:t>
            </w:r>
          </w:p>
        </w:tc>
        <w:tc>
          <w:tcPr>
            <w:tcW w:w="1765"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0.155 </w:t>
            </w:r>
          </w:p>
        </w:tc>
        <w:tc>
          <w:tcPr>
            <w:tcW w:w="1777"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1.791 </w:t>
            </w:r>
          </w:p>
        </w:tc>
        <w:tc>
          <w:tcPr>
            <w:tcW w:w="1858" w:type="dxa"/>
            <w:noWrap/>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0.143 </w:t>
            </w:r>
          </w:p>
        </w:tc>
        <w:tc>
          <w:tcPr>
            <w:tcW w:w="1742" w:type="dxa"/>
            <w:noWrap/>
            <w:vAlign w:val="center"/>
          </w:tcPr>
          <w:p>
            <w:pPr>
              <w:widowControl/>
              <w:jc w:val="center"/>
              <w:textAlignment w:val="center"/>
              <w:rPr>
                <w:kern w:val="0"/>
                <w:sz w:val="18"/>
                <w:szCs w:val="18"/>
                <w:lang w:bidi="ar"/>
              </w:rPr>
            </w:pPr>
            <w:r>
              <w:rPr>
                <w:rFonts w:cs="Times New Roman"/>
                <w:kern w:val="0"/>
                <w:sz w:val="18"/>
                <w:szCs w:val="18"/>
                <w:lang w:bidi="ar"/>
              </w:rPr>
              <w:t xml:space="preserve">1.758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vAlign w:val="center"/>
          </w:tcPr>
          <w:p>
            <w:pPr>
              <w:widowControl/>
              <w:jc w:val="center"/>
              <w:textAlignment w:val="center"/>
              <w:rPr>
                <w:kern w:val="0"/>
                <w:sz w:val="18"/>
                <w:szCs w:val="18"/>
                <w:lang w:bidi="ar"/>
              </w:rPr>
            </w:pPr>
            <w:r>
              <w:rPr>
                <w:rFonts w:cs="Times New Roman"/>
                <w:kern w:val="0"/>
                <w:sz w:val="18"/>
                <w:szCs w:val="18"/>
                <w:lang w:bidi="ar"/>
              </w:rPr>
              <w:t>33</w:t>
            </w:r>
          </w:p>
        </w:tc>
        <w:tc>
          <w:tcPr>
            <w:tcW w:w="1765" w:type="dxa"/>
            <w:vAlign w:val="center"/>
          </w:tcPr>
          <w:p>
            <w:pPr>
              <w:widowControl/>
              <w:jc w:val="center"/>
              <w:textAlignment w:val="center"/>
              <w:rPr>
                <w:kern w:val="0"/>
                <w:sz w:val="18"/>
                <w:szCs w:val="18"/>
                <w:lang w:bidi="ar"/>
              </w:rPr>
            </w:pPr>
            <w:r>
              <w:rPr>
                <w:rFonts w:cs="Times New Roman"/>
                <w:kern w:val="0"/>
                <w:sz w:val="18"/>
                <w:szCs w:val="18"/>
                <w:lang w:bidi="ar"/>
              </w:rPr>
              <w:t xml:space="preserve">0.149 </w:t>
            </w:r>
          </w:p>
        </w:tc>
        <w:tc>
          <w:tcPr>
            <w:tcW w:w="1777" w:type="dxa"/>
            <w:vAlign w:val="center"/>
          </w:tcPr>
          <w:p>
            <w:pPr>
              <w:widowControl/>
              <w:jc w:val="center"/>
              <w:textAlignment w:val="center"/>
              <w:rPr>
                <w:kern w:val="0"/>
                <w:sz w:val="18"/>
                <w:szCs w:val="18"/>
                <w:lang w:bidi="ar"/>
              </w:rPr>
            </w:pPr>
            <w:r>
              <w:rPr>
                <w:rFonts w:cs="Times New Roman"/>
                <w:kern w:val="0"/>
                <w:sz w:val="18"/>
                <w:szCs w:val="18"/>
                <w:lang w:bidi="ar"/>
              </w:rPr>
              <w:t xml:space="preserve">1.688 </w:t>
            </w:r>
          </w:p>
        </w:tc>
        <w:tc>
          <w:tcPr>
            <w:tcW w:w="1858" w:type="dxa"/>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0.139 </w:t>
            </w:r>
          </w:p>
        </w:tc>
        <w:tc>
          <w:tcPr>
            <w:tcW w:w="1742" w:type="dxa"/>
            <w:vAlign w:val="center"/>
          </w:tcPr>
          <w:p>
            <w:pPr>
              <w:widowControl/>
              <w:jc w:val="center"/>
              <w:textAlignment w:val="center"/>
              <w:rPr>
                <w:kern w:val="0"/>
                <w:sz w:val="18"/>
                <w:szCs w:val="18"/>
                <w:lang w:bidi="ar"/>
              </w:rPr>
            </w:pPr>
            <w:r>
              <w:rPr>
                <w:rFonts w:cs="Times New Roman"/>
                <w:kern w:val="0"/>
                <w:sz w:val="18"/>
                <w:szCs w:val="18"/>
                <w:lang w:bidi="ar"/>
              </w:rPr>
              <w:t xml:space="preserve">1.659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vAlign w:val="center"/>
          </w:tcPr>
          <w:p>
            <w:pPr>
              <w:widowControl/>
              <w:jc w:val="center"/>
              <w:textAlignment w:val="center"/>
              <w:rPr>
                <w:kern w:val="0"/>
                <w:sz w:val="18"/>
                <w:szCs w:val="18"/>
                <w:lang w:bidi="ar"/>
              </w:rPr>
            </w:pPr>
            <w:r>
              <w:rPr>
                <w:rFonts w:cs="Times New Roman"/>
                <w:kern w:val="0"/>
                <w:sz w:val="18"/>
                <w:szCs w:val="18"/>
                <w:lang w:bidi="ar"/>
              </w:rPr>
              <w:t>34</w:t>
            </w:r>
          </w:p>
        </w:tc>
        <w:tc>
          <w:tcPr>
            <w:tcW w:w="1765" w:type="dxa"/>
            <w:vAlign w:val="center"/>
          </w:tcPr>
          <w:p>
            <w:pPr>
              <w:widowControl/>
              <w:jc w:val="center"/>
              <w:textAlignment w:val="center"/>
              <w:rPr>
                <w:kern w:val="0"/>
                <w:sz w:val="18"/>
                <w:szCs w:val="18"/>
                <w:lang w:bidi="ar"/>
              </w:rPr>
            </w:pPr>
            <w:r>
              <w:rPr>
                <w:rFonts w:cs="Times New Roman"/>
                <w:kern w:val="0"/>
                <w:sz w:val="18"/>
                <w:szCs w:val="18"/>
                <w:lang w:bidi="ar"/>
              </w:rPr>
              <w:t xml:space="preserve">0.144 </w:t>
            </w:r>
          </w:p>
        </w:tc>
        <w:tc>
          <w:tcPr>
            <w:tcW w:w="1777" w:type="dxa"/>
            <w:vAlign w:val="center"/>
          </w:tcPr>
          <w:p>
            <w:pPr>
              <w:widowControl/>
              <w:jc w:val="center"/>
              <w:textAlignment w:val="center"/>
              <w:rPr>
                <w:kern w:val="0"/>
                <w:sz w:val="18"/>
                <w:szCs w:val="18"/>
                <w:lang w:bidi="ar"/>
              </w:rPr>
            </w:pPr>
            <w:r>
              <w:rPr>
                <w:rFonts w:cs="Times New Roman"/>
                <w:kern w:val="0"/>
                <w:sz w:val="18"/>
                <w:szCs w:val="18"/>
                <w:lang w:bidi="ar"/>
              </w:rPr>
              <w:t xml:space="preserve">1.594 </w:t>
            </w:r>
          </w:p>
        </w:tc>
        <w:tc>
          <w:tcPr>
            <w:tcW w:w="1858" w:type="dxa"/>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0.134 </w:t>
            </w:r>
          </w:p>
        </w:tc>
        <w:tc>
          <w:tcPr>
            <w:tcW w:w="1742" w:type="dxa"/>
            <w:vAlign w:val="center"/>
          </w:tcPr>
          <w:p>
            <w:pPr>
              <w:widowControl/>
              <w:jc w:val="center"/>
              <w:textAlignment w:val="center"/>
              <w:rPr>
                <w:kern w:val="0"/>
                <w:sz w:val="18"/>
                <w:szCs w:val="18"/>
                <w:lang w:bidi="ar"/>
              </w:rPr>
            </w:pPr>
            <w:r>
              <w:rPr>
                <w:rFonts w:cs="Times New Roman"/>
                <w:kern w:val="0"/>
                <w:sz w:val="18"/>
                <w:szCs w:val="18"/>
                <w:lang w:bidi="ar"/>
              </w:rPr>
              <w:t xml:space="preserve">1.569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522" w:type="dxa"/>
            <w:gridSpan w:val="2"/>
            <w:vAlign w:val="center"/>
          </w:tcPr>
          <w:p>
            <w:pPr>
              <w:widowControl/>
              <w:jc w:val="center"/>
              <w:textAlignment w:val="center"/>
              <w:rPr>
                <w:kern w:val="0"/>
                <w:sz w:val="18"/>
                <w:szCs w:val="18"/>
                <w:lang w:bidi="ar"/>
              </w:rPr>
            </w:pPr>
            <w:r>
              <w:rPr>
                <w:rFonts w:cs="Times New Roman"/>
                <w:kern w:val="0"/>
                <w:sz w:val="18"/>
                <w:szCs w:val="18"/>
                <w:lang w:bidi="ar"/>
              </w:rPr>
              <w:t>35</w:t>
            </w:r>
          </w:p>
        </w:tc>
        <w:tc>
          <w:tcPr>
            <w:tcW w:w="1765" w:type="dxa"/>
            <w:vAlign w:val="center"/>
          </w:tcPr>
          <w:p>
            <w:pPr>
              <w:widowControl/>
              <w:jc w:val="center"/>
              <w:textAlignment w:val="center"/>
              <w:rPr>
                <w:kern w:val="0"/>
                <w:sz w:val="18"/>
                <w:szCs w:val="18"/>
                <w:lang w:bidi="ar"/>
              </w:rPr>
            </w:pPr>
            <w:r>
              <w:rPr>
                <w:rFonts w:cs="Times New Roman"/>
                <w:kern w:val="0"/>
                <w:sz w:val="18"/>
                <w:szCs w:val="18"/>
                <w:lang w:bidi="ar"/>
              </w:rPr>
              <w:t xml:space="preserve">0.138 </w:t>
            </w:r>
          </w:p>
        </w:tc>
        <w:tc>
          <w:tcPr>
            <w:tcW w:w="1777" w:type="dxa"/>
            <w:vAlign w:val="center"/>
          </w:tcPr>
          <w:p>
            <w:pPr>
              <w:widowControl/>
              <w:jc w:val="center"/>
              <w:textAlignment w:val="center"/>
              <w:rPr>
                <w:kern w:val="0"/>
                <w:sz w:val="18"/>
                <w:szCs w:val="18"/>
                <w:lang w:bidi="ar"/>
              </w:rPr>
            </w:pPr>
            <w:r>
              <w:rPr>
                <w:rFonts w:cs="Times New Roman"/>
                <w:kern w:val="0"/>
                <w:sz w:val="18"/>
                <w:szCs w:val="18"/>
                <w:lang w:bidi="ar"/>
              </w:rPr>
              <w:t xml:space="preserve">1.508 </w:t>
            </w:r>
          </w:p>
        </w:tc>
        <w:tc>
          <w:tcPr>
            <w:tcW w:w="1858" w:type="dxa"/>
            <w:vAlign w:val="center"/>
          </w:tcPr>
          <w:p>
            <w:pPr>
              <w:widowControl/>
              <w:jc w:val="center"/>
              <w:textAlignment w:val="center"/>
              <w:rPr>
                <w:rFonts w:ascii="Arial" w:hAnsi="Arial" w:cs="Arial"/>
                <w:sz w:val="18"/>
                <w:szCs w:val="18"/>
              </w:rPr>
            </w:pPr>
            <w:r>
              <w:rPr>
                <w:rFonts w:ascii="Arial" w:hAnsi="Arial" w:cs="Arial"/>
                <w:kern w:val="0"/>
                <w:sz w:val="18"/>
                <w:szCs w:val="18"/>
                <w:lang w:bidi="ar"/>
              </w:rPr>
              <w:t xml:space="preserve">0.130 </w:t>
            </w:r>
          </w:p>
        </w:tc>
        <w:tc>
          <w:tcPr>
            <w:tcW w:w="1742" w:type="dxa"/>
            <w:vAlign w:val="center"/>
          </w:tcPr>
          <w:p>
            <w:pPr>
              <w:widowControl/>
              <w:jc w:val="center"/>
              <w:textAlignment w:val="center"/>
              <w:rPr>
                <w:kern w:val="0"/>
                <w:sz w:val="18"/>
                <w:szCs w:val="18"/>
                <w:lang w:bidi="ar"/>
              </w:rPr>
            </w:pPr>
            <w:r>
              <w:rPr>
                <w:rFonts w:cs="Times New Roman"/>
                <w:kern w:val="0"/>
                <w:sz w:val="18"/>
                <w:szCs w:val="18"/>
                <w:lang w:bidi="ar"/>
              </w:rPr>
              <w:t xml:space="preserve">1.485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61" w:type="dxa"/>
            <w:vMerge w:val="restart"/>
            <w:vAlign w:val="center"/>
          </w:tcPr>
          <w:p>
            <w:pPr>
              <w:widowControl/>
              <w:jc w:val="center"/>
              <w:textAlignment w:val="center"/>
              <w:rPr>
                <w:rFonts w:cs="Times New Roman"/>
                <w:kern w:val="0"/>
                <w:sz w:val="18"/>
                <w:szCs w:val="18"/>
                <w:lang w:bidi="ar"/>
              </w:rPr>
            </w:pPr>
            <w:r>
              <w:rPr>
                <w:rFonts w:hint="eastAsia" w:cs="Times New Roman"/>
                <w:sz w:val="18"/>
                <w:szCs w:val="18"/>
              </w:rPr>
              <w:t>范家埭</w:t>
            </w:r>
            <w:r>
              <w:rPr>
                <w:rFonts w:cs="Times New Roman"/>
                <w:sz w:val="18"/>
                <w:szCs w:val="18"/>
              </w:rPr>
              <w:t>39</w:t>
            </w:r>
            <w:r>
              <w:rPr>
                <w:rFonts w:hint="eastAsia" w:cs="Times New Roman"/>
                <w:sz w:val="18"/>
                <w:szCs w:val="18"/>
              </w:rPr>
              <w:t>号</w:t>
            </w:r>
          </w:p>
        </w:tc>
        <w:tc>
          <w:tcPr>
            <w:tcW w:w="761"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1F</w:t>
            </w:r>
          </w:p>
        </w:tc>
        <w:tc>
          <w:tcPr>
            <w:tcW w:w="1765"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0.134</w:t>
            </w:r>
          </w:p>
        </w:tc>
        <w:tc>
          <w:tcPr>
            <w:tcW w:w="177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1.504</w:t>
            </w:r>
          </w:p>
        </w:tc>
        <w:tc>
          <w:tcPr>
            <w:tcW w:w="1858"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 xml:space="preserve">0.126 </w:t>
            </w:r>
          </w:p>
        </w:tc>
        <w:tc>
          <w:tcPr>
            <w:tcW w:w="1742"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 xml:space="preserve">1.481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61" w:type="dxa"/>
            <w:vMerge w:val="continue"/>
            <w:vAlign w:val="center"/>
          </w:tcPr>
          <w:p>
            <w:pPr>
              <w:widowControl/>
              <w:jc w:val="center"/>
              <w:textAlignment w:val="center"/>
              <w:rPr>
                <w:rFonts w:cs="Times New Roman"/>
                <w:sz w:val="18"/>
                <w:szCs w:val="18"/>
              </w:rPr>
            </w:pPr>
          </w:p>
        </w:tc>
        <w:tc>
          <w:tcPr>
            <w:tcW w:w="761"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2F</w:t>
            </w:r>
          </w:p>
        </w:tc>
        <w:tc>
          <w:tcPr>
            <w:tcW w:w="1765"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0.136</w:t>
            </w:r>
          </w:p>
        </w:tc>
        <w:tc>
          <w:tcPr>
            <w:tcW w:w="1777"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1.506</w:t>
            </w:r>
          </w:p>
        </w:tc>
        <w:tc>
          <w:tcPr>
            <w:tcW w:w="1858"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0.128</w:t>
            </w:r>
          </w:p>
        </w:tc>
        <w:tc>
          <w:tcPr>
            <w:tcW w:w="1742"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1.483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61" w:type="dxa"/>
            <w:vMerge w:val="continue"/>
            <w:vAlign w:val="center"/>
          </w:tcPr>
          <w:p>
            <w:pPr>
              <w:widowControl/>
              <w:jc w:val="center"/>
              <w:textAlignment w:val="center"/>
              <w:rPr>
                <w:rFonts w:cs="Times New Roman"/>
                <w:sz w:val="18"/>
                <w:szCs w:val="18"/>
              </w:rPr>
            </w:pPr>
          </w:p>
        </w:tc>
        <w:tc>
          <w:tcPr>
            <w:tcW w:w="761"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3F</w:t>
            </w:r>
          </w:p>
        </w:tc>
        <w:tc>
          <w:tcPr>
            <w:tcW w:w="1765"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 xml:space="preserve">0.144 </w:t>
            </w:r>
          </w:p>
        </w:tc>
        <w:tc>
          <w:tcPr>
            <w:tcW w:w="177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 xml:space="preserve">1.594 </w:t>
            </w:r>
          </w:p>
        </w:tc>
        <w:tc>
          <w:tcPr>
            <w:tcW w:w="1858"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 xml:space="preserve">0.134 </w:t>
            </w:r>
          </w:p>
        </w:tc>
        <w:tc>
          <w:tcPr>
            <w:tcW w:w="1742"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 xml:space="preserve">1.569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61" w:type="dxa"/>
            <w:vMerge w:val="restart"/>
            <w:vAlign w:val="center"/>
          </w:tcPr>
          <w:p>
            <w:pPr>
              <w:widowControl/>
              <w:jc w:val="center"/>
              <w:textAlignment w:val="center"/>
              <w:rPr>
                <w:rFonts w:cs="Times New Roman"/>
                <w:sz w:val="18"/>
                <w:szCs w:val="18"/>
              </w:rPr>
            </w:pPr>
            <w:r>
              <w:rPr>
                <w:rFonts w:hint="eastAsia" w:cs="Times New Roman"/>
                <w:sz w:val="18"/>
                <w:szCs w:val="18"/>
              </w:rPr>
              <w:t>范家埭</w:t>
            </w:r>
            <w:r>
              <w:rPr>
                <w:rFonts w:cs="Times New Roman"/>
                <w:sz w:val="18"/>
                <w:szCs w:val="18"/>
              </w:rPr>
              <w:t>38</w:t>
            </w:r>
            <w:r>
              <w:rPr>
                <w:rFonts w:hint="eastAsia" w:cs="Times New Roman"/>
                <w:sz w:val="18"/>
                <w:szCs w:val="18"/>
              </w:rPr>
              <w:t>号</w:t>
            </w:r>
          </w:p>
        </w:tc>
        <w:tc>
          <w:tcPr>
            <w:tcW w:w="761"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1F</w:t>
            </w:r>
          </w:p>
        </w:tc>
        <w:tc>
          <w:tcPr>
            <w:tcW w:w="1765"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0.130</w:t>
            </w:r>
          </w:p>
        </w:tc>
        <w:tc>
          <w:tcPr>
            <w:tcW w:w="1777"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1.5</w:t>
            </w:r>
          </w:p>
        </w:tc>
        <w:tc>
          <w:tcPr>
            <w:tcW w:w="1858"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0.122</w:t>
            </w:r>
          </w:p>
        </w:tc>
        <w:tc>
          <w:tcPr>
            <w:tcW w:w="1742"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1.477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61" w:type="dxa"/>
            <w:vMerge w:val="continue"/>
            <w:vAlign w:val="center"/>
          </w:tcPr>
          <w:p>
            <w:pPr>
              <w:widowControl/>
              <w:jc w:val="center"/>
              <w:textAlignment w:val="center"/>
              <w:rPr>
                <w:rFonts w:cs="Times New Roman"/>
                <w:sz w:val="18"/>
                <w:szCs w:val="18"/>
              </w:rPr>
            </w:pPr>
          </w:p>
        </w:tc>
        <w:tc>
          <w:tcPr>
            <w:tcW w:w="761"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2F</w:t>
            </w:r>
          </w:p>
        </w:tc>
        <w:tc>
          <w:tcPr>
            <w:tcW w:w="1765"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0.132</w:t>
            </w:r>
          </w:p>
        </w:tc>
        <w:tc>
          <w:tcPr>
            <w:tcW w:w="1777"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1.502</w:t>
            </w:r>
          </w:p>
        </w:tc>
        <w:tc>
          <w:tcPr>
            <w:tcW w:w="1858"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0.124</w:t>
            </w:r>
          </w:p>
        </w:tc>
        <w:tc>
          <w:tcPr>
            <w:tcW w:w="1742" w:type="dxa"/>
            <w:vAlign w:val="bottom"/>
          </w:tcPr>
          <w:p>
            <w:pPr>
              <w:widowControl/>
              <w:jc w:val="center"/>
              <w:textAlignment w:val="center"/>
              <w:rPr>
                <w:rFonts w:cs="Times New Roman"/>
                <w:kern w:val="0"/>
                <w:sz w:val="18"/>
                <w:szCs w:val="18"/>
                <w:lang w:bidi="ar"/>
              </w:rPr>
            </w:pPr>
            <w:r>
              <w:rPr>
                <w:rFonts w:cs="Times New Roman"/>
                <w:kern w:val="0"/>
                <w:sz w:val="18"/>
                <w:szCs w:val="18"/>
                <w:lang w:bidi="ar"/>
              </w:rPr>
              <w:t>1.479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61" w:type="dxa"/>
            <w:vMerge w:val="continue"/>
            <w:vAlign w:val="center"/>
          </w:tcPr>
          <w:p>
            <w:pPr>
              <w:widowControl/>
              <w:jc w:val="center"/>
              <w:textAlignment w:val="center"/>
              <w:rPr>
                <w:rFonts w:cs="Times New Roman"/>
                <w:sz w:val="18"/>
                <w:szCs w:val="18"/>
              </w:rPr>
            </w:pPr>
          </w:p>
        </w:tc>
        <w:tc>
          <w:tcPr>
            <w:tcW w:w="761"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3F</w:t>
            </w:r>
          </w:p>
        </w:tc>
        <w:tc>
          <w:tcPr>
            <w:tcW w:w="1765"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0.134</w:t>
            </w:r>
          </w:p>
        </w:tc>
        <w:tc>
          <w:tcPr>
            <w:tcW w:w="1777"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1.504</w:t>
            </w:r>
          </w:p>
        </w:tc>
        <w:tc>
          <w:tcPr>
            <w:tcW w:w="1858"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0.126</w:t>
            </w:r>
          </w:p>
        </w:tc>
        <w:tc>
          <w:tcPr>
            <w:tcW w:w="1742" w:type="dxa"/>
            <w:vAlign w:val="center"/>
          </w:tcPr>
          <w:p>
            <w:pPr>
              <w:widowControl/>
              <w:jc w:val="center"/>
              <w:textAlignment w:val="center"/>
              <w:rPr>
                <w:rFonts w:cs="Times New Roman"/>
                <w:kern w:val="0"/>
                <w:sz w:val="18"/>
                <w:szCs w:val="18"/>
                <w:lang w:bidi="ar"/>
              </w:rPr>
            </w:pPr>
            <w:r>
              <w:rPr>
                <w:rFonts w:cs="Times New Roman"/>
                <w:kern w:val="0"/>
                <w:sz w:val="18"/>
                <w:szCs w:val="18"/>
                <w:lang w:bidi="ar"/>
              </w:rPr>
              <w:t>1.481</w:t>
            </w:r>
          </w:p>
        </w:tc>
      </w:tr>
    </w:tbl>
    <w:p>
      <w:pPr>
        <w:widowControl/>
        <w:jc w:val="center"/>
        <w:rPr>
          <w:rFonts w:eastAsia="黑体" w:cs="Times New Roman"/>
          <w:kern w:val="0"/>
          <w:sz w:val="24"/>
          <w:highlight w:val="yellow"/>
        </w:rPr>
      </w:pPr>
    </w:p>
    <w:bookmarkEnd w:id="69"/>
    <w:p>
      <w:pPr>
        <w:jc w:val="center"/>
        <w:rPr>
          <w:rFonts w:eastAsia="黑体"/>
          <w:szCs w:val="21"/>
        </w:rPr>
      </w:pPr>
      <w:bookmarkStart w:id="70" w:name="_Toc22599419"/>
      <w:r>
        <w:drawing>
          <wp:inline distT="0" distB="0" distL="114300" distR="114300">
            <wp:extent cx="5269230" cy="3019425"/>
            <wp:effectExtent l="4445" t="4445" r="22225" b="5080"/>
            <wp:docPr id="65621"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pPr>
        <w:jc w:val="center"/>
        <w:rPr>
          <w:rFonts w:eastAsia="黑体"/>
          <w:szCs w:val="21"/>
        </w:rPr>
      </w:pPr>
      <w:r>
        <w:rPr>
          <w:rFonts w:hint="eastAsia" w:eastAsia="黑体" w:cs="Times New Roman"/>
          <w:szCs w:val="21"/>
        </w:rPr>
        <w:t>图5</w:t>
      </w:r>
      <w:r>
        <w:rPr>
          <w:rFonts w:eastAsia="黑体" w:cs="Times New Roman"/>
          <w:szCs w:val="21"/>
        </w:rPr>
        <w:t>-</w:t>
      </w:r>
      <w:r>
        <w:rPr>
          <w:rFonts w:hint="eastAsia" w:eastAsia="黑体" w:cs="Times New Roman"/>
          <w:szCs w:val="21"/>
        </w:rPr>
        <w:t>1 架空导线对地高度为6m、7m时地面1.5m工频电场强度变化趋势图</w:t>
      </w:r>
    </w:p>
    <w:p>
      <w:pPr>
        <w:pStyle w:val="30"/>
        <w:jc w:val="center"/>
        <w:rPr>
          <w:rFonts w:cs="Times New Roman"/>
          <w:color w:val="auto"/>
          <w:kern w:val="0"/>
        </w:rPr>
      </w:pPr>
      <w:r>
        <w:rPr>
          <w:color w:val="auto"/>
        </w:rPr>
        <w:drawing>
          <wp:inline distT="0" distB="0" distL="114300" distR="114300">
            <wp:extent cx="5271770" cy="3050540"/>
            <wp:effectExtent l="4445" t="4445" r="19685" b="12065"/>
            <wp:docPr id="65622"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pPr>
        <w:jc w:val="center"/>
        <w:rPr>
          <w:rFonts w:eastAsia="黑体"/>
          <w:szCs w:val="21"/>
        </w:rPr>
      </w:pPr>
      <w:r>
        <w:rPr>
          <w:rFonts w:hint="eastAsia" w:eastAsia="黑体" w:cs="Times New Roman"/>
          <w:szCs w:val="21"/>
        </w:rPr>
        <w:t>图5</w:t>
      </w:r>
      <w:r>
        <w:rPr>
          <w:rFonts w:eastAsia="黑体" w:cs="Times New Roman"/>
          <w:szCs w:val="21"/>
        </w:rPr>
        <w:t>-</w:t>
      </w:r>
      <w:r>
        <w:rPr>
          <w:rFonts w:hint="eastAsia" w:eastAsia="黑体" w:cs="Times New Roman"/>
          <w:szCs w:val="21"/>
        </w:rPr>
        <w:t>2 架空导线对地高度为6m、7m时地面1.5m工频磁感应强度变化趋势图</w:t>
      </w:r>
    </w:p>
    <w:p>
      <w:pPr>
        <w:pStyle w:val="2"/>
        <w:jc w:val="center"/>
      </w:pPr>
    </w:p>
    <w:p>
      <w:pPr>
        <w:snapToGrid w:val="0"/>
        <w:spacing w:line="360" w:lineRule="auto"/>
        <w:ind w:firstLine="480"/>
        <w:rPr>
          <w:rFonts w:cs="Times New Roman"/>
          <w:szCs w:val="21"/>
        </w:rPr>
      </w:pPr>
      <w:r>
        <w:rPr>
          <w:rFonts w:cs="Times New Roman"/>
          <w:szCs w:val="21"/>
        </w:rPr>
        <w:t>由表5-</w:t>
      </w:r>
      <w:r>
        <w:rPr>
          <w:rFonts w:hint="eastAsia" w:cs="Times New Roman"/>
          <w:szCs w:val="21"/>
        </w:rPr>
        <w:t>2</w:t>
      </w:r>
      <w:r>
        <w:rPr>
          <w:rFonts w:cs="Times New Roman"/>
          <w:szCs w:val="21"/>
        </w:rPr>
        <w:t>、图5-</w:t>
      </w:r>
      <w:r>
        <w:rPr>
          <w:rFonts w:hint="eastAsia" w:cs="Times New Roman"/>
          <w:szCs w:val="21"/>
        </w:rPr>
        <w:t>1</w:t>
      </w:r>
      <w:r>
        <w:rPr>
          <w:rFonts w:cs="Times New Roman"/>
          <w:szCs w:val="21"/>
        </w:rPr>
        <w:t>可知，</w:t>
      </w:r>
      <w:r>
        <w:rPr>
          <w:rFonts w:hint="eastAsia" w:cs="Times New Roman"/>
          <w:szCs w:val="21"/>
        </w:rPr>
        <w:t>双回架空导线对地高度为6m、7m时地面1.5m工频电场强度随着距边导线投影水平距离的增加总体呈逐渐衰减趋势。由表</w:t>
      </w:r>
      <w:r>
        <w:rPr>
          <w:rFonts w:cs="Times New Roman"/>
          <w:szCs w:val="21"/>
        </w:rPr>
        <w:t>5-2</w:t>
      </w:r>
      <w:r>
        <w:rPr>
          <w:rFonts w:hint="eastAsia" w:cs="Times New Roman"/>
          <w:szCs w:val="21"/>
        </w:rPr>
        <w:t>可以看出，本项目拟建110kV双回架空线路导线对地距离6m时，距离地面1.5m高度处的工频电场强度理论计算结果为0.138 kV/m～2.619kV/m，线路运行产生的工频电场强度最大值为2.619kV/m，位于线路边导线内。本项目拟建110kV双回架空线路导线对地距离7m时，距离地面1.5m高度处的工频电场强度理论计算结果为0.130kV/m～2.146kV/m，线路运行产生的工频电场强度最大值为2.146kV/m，位于线路边导线内。双回架空导线对地高度为6m、7m时距离地面1.5m高度处的工频电场强度理论计算结果满足《电磁环境控制限值》（GB8702-2014）架空输电线路线下的耕地、园地、道路等场所，其频率50Hz的电场强度控制限值为10kV/m，也满足电场强度公众曝露控制限值4kV/m的标准。</w:t>
      </w:r>
    </w:p>
    <w:p>
      <w:pPr>
        <w:snapToGrid w:val="0"/>
        <w:spacing w:line="360" w:lineRule="auto"/>
        <w:ind w:firstLine="480"/>
        <w:rPr>
          <w:rFonts w:cs="Times New Roman"/>
        </w:rPr>
      </w:pPr>
      <w:r>
        <w:rPr>
          <w:rFonts w:hint="eastAsia" w:cs="Times New Roman"/>
        </w:rPr>
        <w:t>由图5</w:t>
      </w:r>
      <w:r>
        <w:rPr>
          <w:rFonts w:cs="Times New Roman"/>
        </w:rPr>
        <w:t>-</w:t>
      </w:r>
      <w:r>
        <w:rPr>
          <w:rFonts w:hint="eastAsia" w:cs="Times New Roman"/>
        </w:rPr>
        <w:t>2可知，双回架空导线对地高度为6m、7m时地面1.5m工频磁感应强度随着距边导线投影水平距离的增加总体呈逐渐衰减趋势。由表1可以看出，本项目拟建110kV双回架空线路导线对地距离6m时，距离地面1.5m高度处的工频磁感应强度理论计算结果为1.508μT～17.369μT，线路运行产生的工频磁感应强度最大值为17.369μT，位于线路边导线附近。本项目拟建110kV双回架空线路导线对地距离7m时，距离地面1.5m高度处的工频磁感应强度理论计算结果为1.485μT～13.899μT，线路运行产生的工频磁感应强度最大值为13.899μT，位于线路边导线附近。双回架空导线对地高度为6m、7m时距离地面1.5m高度处的工频磁感应强度理论计算结果满足《电磁环境控制限值》（GB8702-2014）中频率为50Hz的公众曝露控制限制值要求，即工频磁感应强度公众曝露控制限值100μT作为工频磁场评价标准。</w:t>
      </w:r>
    </w:p>
    <w:p>
      <w:pPr>
        <w:snapToGrid w:val="0"/>
        <w:spacing w:line="360" w:lineRule="auto"/>
        <w:ind w:firstLine="480"/>
        <w:rPr>
          <w:rFonts w:cs="Times New Roman"/>
        </w:rPr>
      </w:pPr>
      <w:r>
        <w:rPr>
          <w:rFonts w:hint="eastAsia" w:cs="Times New Roman"/>
        </w:rPr>
        <w:t>由表</w:t>
      </w:r>
      <w:r>
        <w:rPr>
          <w:rFonts w:cs="Times New Roman"/>
        </w:rPr>
        <w:t>5-2</w:t>
      </w:r>
      <w:r>
        <w:rPr>
          <w:rFonts w:hint="eastAsia" w:cs="Times New Roman"/>
        </w:rPr>
        <w:t>可知，本项目拟建</w:t>
      </w:r>
      <w:r>
        <w:rPr>
          <w:rFonts w:cs="Times New Roman"/>
        </w:rPr>
        <w:t>110kV</w:t>
      </w:r>
      <w:r>
        <w:rPr>
          <w:rFonts w:hint="eastAsia" w:cs="Times New Roman"/>
        </w:rPr>
        <w:t>双回架空线路导线对地距离</w:t>
      </w:r>
      <w:r>
        <w:rPr>
          <w:rFonts w:cs="Times New Roman"/>
        </w:rPr>
        <w:t>6m</w:t>
      </w:r>
      <w:r>
        <w:rPr>
          <w:rFonts w:hint="eastAsia" w:cs="Times New Roman"/>
        </w:rPr>
        <w:t>时，范家埭</w:t>
      </w:r>
      <w:r>
        <w:rPr>
          <w:rFonts w:cs="Times New Roman"/>
        </w:rPr>
        <w:t>38</w:t>
      </w:r>
      <w:r>
        <w:rPr>
          <w:rFonts w:hint="eastAsia" w:cs="Times New Roman"/>
        </w:rPr>
        <w:t>、</w:t>
      </w:r>
      <w:r>
        <w:rPr>
          <w:rFonts w:cs="Times New Roman"/>
        </w:rPr>
        <w:t>39</w:t>
      </w:r>
      <w:r>
        <w:rPr>
          <w:rFonts w:hint="eastAsia" w:cs="Times New Roman"/>
        </w:rPr>
        <w:t>号的工频电场强度理论计算结果为</w:t>
      </w:r>
      <w:r>
        <w:rPr>
          <w:rFonts w:cs="Times New Roman"/>
        </w:rPr>
        <w:t>0.132 kV/m</w:t>
      </w:r>
      <w:r>
        <w:rPr>
          <w:rFonts w:hint="eastAsia" w:cs="Times New Roman"/>
        </w:rPr>
        <w:t>～</w:t>
      </w:r>
      <w:r>
        <w:rPr>
          <w:rFonts w:cs="Times New Roman"/>
        </w:rPr>
        <w:t>0.144kV/m</w:t>
      </w:r>
      <w:r>
        <w:rPr>
          <w:rFonts w:hint="eastAsia" w:cs="Times New Roman"/>
        </w:rPr>
        <w:t>，本项目拟建</w:t>
      </w:r>
      <w:r>
        <w:rPr>
          <w:rFonts w:cs="Times New Roman"/>
        </w:rPr>
        <w:t>110kV</w:t>
      </w:r>
      <w:r>
        <w:rPr>
          <w:rFonts w:hint="eastAsia" w:cs="Times New Roman"/>
        </w:rPr>
        <w:t>双回架空线路导线对地距离</w:t>
      </w:r>
      <w:r>
        <w:rPr>
          <w:rFonts w:cs="Times New Roman"/>
        </w:rPr>
        <w:t>7m</w:t>
      </w:r>
      <w:r>
        <w:rPr>
          <w:rFonts w:hint="eastAsia" w:cs="Times New Roman"/>
        </w:rPr>
        <w:t>时，范家埭</w:t>
      </w:r>
      <w:r>
        <w:rPr>
          <w:rFonts w:cs="Times New Roman"/>
        </w:rPr>
        <w:t>38</w:t>
      </w:r>
      <w:r>
        <w:rPr>
          <w:rFonts w:hint="eastAsia" w:cs="Times New Roman"/>
        </w:rPr>
        <w:t>、</w:t>
      </w:r>
      <w:r>
        <w:rPr>
          <w:rFonts w:cs="Times New Roman"/>
        </w:rPr>
        <w:t>39</w:t>
      </w:r>
      <w:r>
        <w:rPr>
          <w:rFonts w:hint="eastAsia" w:cs="Times New Roman"/>
        </w:rPr>
        <w:t>号的工频电场强度理论计算结果为</w:t>
      </w:r>
      <w:r>
        <w:rPr>
          <w:rFonts w:cs="Times New Roman"/>
        </w:rPr>
        <w:t>0.122kV/m</w:t>
      </w:r>
      <w:r>
        <w:rPr>
          <w:rFonts w:hint="eastAsia" w:cs="Times New Roman"/>
        </w:rPr>
        <w:t>～</w:t>
      </w:r>
      <w:r>
        <w:rPr>
          <w:rFonts w:cs="Times New Roman"/>
        </w:rPr>
        <w:t>0.134kV/m</w:t>
      </w:r>
      <w:r>
        <w:rPr>
          <w:rFonts w:hint="eastAsia" w:cs="Times New Roman"/>
        </w:rPr>
        <w:t>，计算结果满足《电磁环境控制限值》（</w:t>
      </w:r>
      <w:r>
        <w:rPr>
          <w:rFonts w:cs="Times New Roman"/>
        </w:rPr>
        <w:t>GB8702-2014</w:t>
      </w:r>
      <w:r>
        <w:rPr>
          <w:rFonts w:hint="eastAsia" w:cs="Times New Roman"/>
        </w:rPr>
        <w:t>）架空输电线路线下的耕地、园地、道路等场所，其频率</w:t>
      </w:r>
      <w:r>
        <w:rPr>
          <w:rFonts w:cs="Times New Roman"/>
        </w:rPr>
        <w:t>50Hz</w:t>
      </w:r>
      <w:r>
        <w:rPr>
          <w:rFonts w:hint="eastAsia" w:cs="Times New Roman"/>
        </w:rPr>
        <w:t>的电场强度控制限值为</w:t>
      </w:r>
      <w:r>
        <w:rPr>
          <w:rFonts w:cs="Times New Roman"/>
        </w:rPr>
        <w:t>10kV/m</w:t>
      </w:r>
      <w:r>
        <w:rPr>
          <w:rFonts w:hint="eastAsia" w:cs="Times New Roman"/>
        </w:rPr>
        <w:t>，也满足电场强度公众曝露控制限值</w:t>
      </w:r>
      <w:r>
        <w:rPr>
          <w:rFonts w:cs="Times New Roman"/>
        </w:rPr>
        <w:t>4kV/m</w:t>
      </w:r>
      <w:r>
        <w:rPr>
          <w:rFonts w:hint="eastAsia" w:cs="Times New Roman"/>
        </w:rPr>
        <w:t>的标准。</w:t>
      </w:r>
    </w:p>
    <w:p>
      <w:pPr>
        <w:snapToGrid w:val="0"/>
        <w:spacing w:line="360" w:lineRule="auto"/>
        <w:ind w:firstLine="480"/>
        <w:rPr>
          <w:rFonts w:cs="Times New Roman"/>
        </w:rPr>
      </w:pPr>
      <w:r>
        <w:rPr>
          <w:rFonts w:hint="eastAsia" w:cs="Times New Roman"/>
        </w:rPr>
        <w:t>本项目拟建</w:t>
      </w:r>
      <w:r>
        <w:rPr>
          <w:rFonts w:cs="Times New Roman"/>
        </w:rPr>
        <w:t>110kV</w:t>
      </w:r>
      <w:r>
        <w:rPr>
          <w:rFonts w:hint="eastAsia" w:cs="Times New Roman"/>
        </w:rPr>
        <w:t>双回架空线路导线对地距离</w:t>
      </w:r>
      <w:r>
        <w:rPr>
          <w:rFonts w:cs="Times New Roman"/>
        </w:rPr>
        <w:t>6m</w:t>
      </w:r>
      <w:r>
        <w:rPr>
          <w:rFonts w:hint="eastAsia" w:cs="Times New Roman"/>
        </w:rPr>
        <w:t>时，范家埭</w:t>
      </w:r>
      <w:r>
        <w:rPr>
          <w:rFonts w:cs="Times New Roman"/>
        </w:rPr>
        <w:t>38</w:t>
      </w:r>
      <w:r>
        <w:rPr>
          <w:rFonts w:hint="eastAsia" w:cs="Times New Roman"/>
        </w:rPr>
        <w:t>、</w:t>
      </w:r>
      <w:r>
        <w:rPr>
          <w:rFonts w:cs="Times New Roman"/>
        </w:rPr>
        <w:t>39</w:t>
      </w:r>
      <w:r>
        <w:rPr>
          <w:rFonts w:hint="eastAsia" w:cs="Times New Roman"/>
        </w:rPr>
        <w:t>号</w:t>
      </w:r>
      <w:r>
        <w:rPr>
          <w:rFonts w:cs="Times New Roman"/>
        </w:rPr>
        <w:t>1~3F</w:t>
      </w:r>
      <w:r>
        <w:rPr>
          <w:rFonts w:hint="eastAsia" w:cs="Times New Roman"/>
        </w:rPr>
        <w:t>的工频磁感应强度理论计算结果为</w:t>
      </w:r>
      <w:r>
        <w:rPr>
          <w:rFonts w:cs="Times New Roman"/>
        </w:rPr>
        <w:t>1.502</w:t>
      </w:r>
      <w:r>
        <w:rPr>
          <w:rFonts w:hint="eastAsia" w:cs="Times New Roman"/>
        </w:rPr>
        <w:t>μ</w:t>
      </w:r>
      <w:r>
        <w:rPr>
          <w:rFonts w:cs="Times New Roman"/>
        </w:rPr>
        <w:t>T</w:t>
      </w:r>
      <w:r>
        <w:rPr>
          <w:rFonts w:hint="eastAsia" w:cs="Times New Roman"/>
        </w:rPr>
        <w:t>～</w:t>
      </w:r>
      <w:r>
        <w:rPr>
          <w:rFonts w:cs="Times New Roman"/>
        </w:rPr>
        <w:t>1.594</w:t>
      </w:r>
      <w:r>
        <w:rPr>
          <w:rFonts w:hint="eastAsia" w:cs="Times New Roman"/>
        </w:rPr>
        <w:t>μ</w:t>
      </w:r>
      <w:r>
        <w:rPr>
          <w:rFonts w:cs="Times New Roman"/>
        </w:rPr>
        <w:t>T</w:t>
      </w:r>
      <w:r>
        <w:rPr>
          <w:rFonts w:hint="eastAsia" w:cs="Times New Roman"/>
        </w:rPr>
        <w:t>，本项目拟建</w:t>
      </w:r>
      <w:r>
        <w:rPr>
          <w:rFonts w:cs="Times New Roman"/>
        </w:rPr>
        <w:t>110kV</w:t>
      </w:r>
      <w:r>
        <w:rPr>
          <w:rFonts w:hint="eastAsia" w:cs="Times New Roman"/>
        </w:rPr>
        <w:t>双回架空线路导线对地距离</w:t>
      </w:r>
      <w:r>
        <w:rPr>
          <w:rFonts w:cs="Times New Roman"/>
        </w:rPr>
        <w:t>7m</w:t>
      </w:r>
      <w:r>
        <w:rPr>
          <w:rFonts w:hint="eastAsia" w:cs="Times New Roman"/>
        </w:rPr>
        <w:t>时，范家埭</w:t>
      </w:r>
      <w:r>
        <w:rPr>
          <w:rFonts w:cs="Times New Roman"/>
        </w:rPr>
        <w:t>38</w:t>
      </w:r>
      <w:r>
        <w:rPr>
          <w:rFonts w:hint="eastAsia" w:cs="Times New Roman"/>
        </w:rPr>
        <w:t>、</w:t>
      </w:r>
      <w:r>
        <w:rPr>
          <w:rFonts w:cs="Times New Roman"/>
        </w:rPr>
        <w:t>39</w:t>
      </w:r>
      <w:r>
        <w:rPr>
          <w:rFonts w:hint="eastAsia" w:cs="Times New Roman"/>
        </w:rPr>
        <w:t>号的工频磁感应强度理论计算结果为</w:t>
      </w:r>
      <w:r>
        <w:rPr>
          <w:rFonts w:cs="Times New Roman"/>
        </w:rPr>
        <w:t>1.477</w:t>
      </w:r>
      <w:r>
        <w:rPr>
          <w:rFonts w:hint="eastAsia" w:cs="Times New Roman"/>
        </w:rPr>
        <w:t>μ</w:t>
      </w:r>
      <w:r>
        <w:rPr>
          <w:rFonts w:cs="Times New Roman"/>
        </w:rPr>
        <w:t>T</w:t>
      </w:r>
      <w:r>
        <w:rPr>
          <w:rFonts w:hint="eastAsia" w:cs="Times New Roman"/>
        </w:rPr>
        <w:t>～</w:t>
      </w:r>
      <w:r>
        <w:rPr>
          <w:rFonts w:cs="Times New Roman"/>
        </w:rPr>
        <w:t>1.569</w:t>
      </w:r>
      <w:r>
        <w:rPr>
          <w:rFonts w:hint="eastAsia" w:cs="Times New Roman"/>
        </w:rPr>
        <w:t>μ</w:t>
      </w:r>
      <w:r>
        <w:rPr>
          <w:rFonts w:cs="Times New Roman"/>
        </w:rPr>
        <w:t>T</w:t>
      </w:r>
      <w:r>
        <w:rPr>
          <w:rFonts w:hint="eastAsia" w:cs="Times New Roman"/>
        </w:rPr>
        <w:t>，计算结果满足《电磁环境控制限值》（</w:t>
      </w:r>
      <w:r>
        <w:rPr>
          <w:rFonts w:cs="Times New Roman"/>
        </w:rPr>
        <w:t>GB8702-2014</w:t>
      </w:r>
      <w:r>
        <w:rPr>
          <w:rFonts w:hint="eastAsia" w:cs="Times New Roman"/>
        </w:rPr>
        <w:t>）中频率为</w:t>
      </w:r>
      <w:r>
        <w:rPr>
          <w:rFonts w:cs="Times New Roman"/>
        </w:rPr>
        <w:t>50Hz</w:t>
      </w:r>
      <w:r>
        <w:rPr>
          <w:rFonts w:hint="eastAsia" w:cs="Times New Roman"/>
        </w:rPr>
        <w:t>的公众曝露控制限制值要求，即工频磁感应强度公众曝露控制限值</w:t>
      </w:r>
      <w:r>
        <w:rPr>
          <w:rFonts w:cs="Times New Roman"/>
        </w:rPr>
        <w:t>100</w:t>
      </w:r>
      <w:r>
        <w:rPr>
          <w:rFonts w:hint="eastAsia" w:cs="Times New Roman"/>
        </w:rPr>
        <w:t>μ</w:t>
      </w:r>
      <w:r>
        <w:rPr>
          <w:rFonts w:cs="Times New Roman"/>
        </w:rPr>
        <w:t>T</w:t>
      </w:r>
      <w:r>
        <w:rPr>
          <w:rFonts w:hint="eastAsia" w:cs="Times New Roman"/>
        </w:rPr>
        <w:t>作为工频磁场评价标准。</w:t>
      </w:r>
    </w:p>
    <w:bookmarkEnd w:id="70"/>
    <w:p>
      <w:pPr>
        <w:keepLines/>
        <w:spacing w:line="360" w:lineRule="auto"/>
        <w:outlineLvl w:val="1"/>
        <w:rPr>
          <w:rFonts w:eastAsia="黑体" w:cs="Times New Roman"/>
          <w:bCs/>
          <w:szCs w:val="32"/>
        </w:rPr>
      </w:pPr>
      <w:r>
        <w:rPr>
          <w:rFonts w:eastAsia="黑体" w:cs="Times New Roman"/>
          <w:bCs/>
          <w:szCs w:val="32"/>
        </w:rPr>
        <w:t>6  电磁环境保护措施</w:t>
      </w:r>
    </w:p>
    <w:p>
      <w:pPr>
        <w:spacing w:line="360" w:lineRule="auto"/>
        <w:ind w:firstLine="420" w:firstLineChars="200"/>
        <w:contextualSpacing/>
        <w:rPr>
          <w:rFonts w:ascii="宋体" w:hAnsi="宋体" w:cs="宋体"/>
          <w:szCs w:val="21"/>
        </w:rPr>
      </w:pPr>
      <w:r>
        <w:rPr>
          <w:rFonts w:hint="eastAsia" w:cs="宋体"/>
          <w:szCs w:val="21"/>
        </w:rPr>
        <w:t>（1）本项目拟建110kV双回架空线路应根据本报告提出的最低线高要求进行优化，即当线路位于耕养区时最低线高应满足</w:t>
      </w:r>
      <w:r>
        <w:rPr>
          <w:rFonts w:cs="宋体"/>
          <w:szCs w:val="21"/>
        </w:rPr>
        <w:t>6</w:t>
      </w:r>
      <w:r>
        <w:rPr>
          <w:rFonts w:hint="eastAsia" w:cs="宋体"/>
          <w:szCs w:val="21"/>
        </w:rPr>
        <w:t>m，当线路位于居民区时最低线高应分别满足</w:t>
      </w:r>
      <w:r>
        <w:rPr>
          <w:rFonts w:cs="宋体"/>
          <w:szCs w:val="21"/>
        </w:rPr>
        <w:t>7</w:t>
      </w:r>
      <w:r>
        <w:rPr>
          <w:rFonts w:hint="eastAsia" w:cs="宋体"/>
          <w:szCs w:val="21"/>
        </w:rPr>
        <w:t>m（非跨越环境敏感目标建筑）。</w:t>
      </w:r>
    </w:p>
    <w:p>
      <w:pPr>
        <w:spacing w:line="360" w:lineRule="auto"/>
        <w:ind w:firstLine="420" w:firstLineChars="200"/>
        <w:contextualSpacing/>
        <w:rPr>
          <w:rFonts w:cs="宋体"/>
          <w:szCs w:val="21"/>
        </w:rPr>
      </w:pPr>
      <w:r>
        <w:rPr>
          <w:rFonts w:hint="eastAsia" w:cs="宋体"/>
          <w:szCs w:val="21"/>
        </w:rPr>
        <w:t>（2）工程下阶段进一步优化线路走向和塔基位置，使线路和塔基尽量远离居民点，减少对环境的影响。若有交叉跨越应按规范要求留有足够的防护距离和交叉角，以减少干扰和影响。</w:t>
      </w:r>
    </w:p>
    <w:p>
      <w:pPr>
        <w:spacing w:line="360" w:lineRule="auto"/>
        <w:ind w:firstLine="420" w:firstLineChars="200"/>
        <w:contextualSpacing/>
        <w:rPr>
          <w:rFonts w:cs="宋体"/>
          <w:szCs w:val="21"/>
        </w:rPr>
      </w:pPr>
      <w:r>
        <w:rPr>
          <w:rFonts w:hint="eastAsia" w:cs="宋体"/>
          <w:szCs w:val="21"/>
        </w:rPr>
        <w:t>（3）工程建成后需进行竣工环保验收。</w:t>
      </w:r>
    </w:p>
    <w:p>
      <w:pPr>
        <w:spacing w:line="360" w:lineRule="auto"/>
        <w:ind w:firstLine="420" w:firstLineChars="200"/>
        <w:contextualSpacing/>
      </w:pPr>
      <w:r>
        <w:rPr>
          <w:rFonts w:hint="eastAsia" w:cs="宋体"/>
          <w:szCs w:val="21"/>
        </w:rPr>
        <w:t>（</w:t>
      </w:r>
      <w:r>
        <w:rPr>
          <w:rFonts w:cs="宋体"/>
          <w:szCs w:val="21"/>
        </w:rPr>
        <w:t>4</w:t>
      </w:r>
      <w:r>
        <w:rPr>
          <w:rFonts w:hint="eastAsia" w:cs="宋体"/>
          <w:szCs w:val="21"/>
        </w:rPr>
        <w:t>）根据《</w:t>
      </w:r>
      <w:r>
        <w:rPr>
          <w:rFonts w:cs="宋体"/>
          <w:szCs w:val="21"/>
        </w:rPr>
        <w:t>110kV</w:t>
      </w:r>
      <w:r>
        <w:rPr>
          <w:rFonts w:hint="eastAsia" w:cs="宋体"/>
          <w:szCs w:val="21"/>
        </w:rPr>
        <w:t>～</w:t>
      </w:r>
      <w:r>
        <w:rPr>
          <w:rFonts w:cs="宋体"/>
          <w:szCs w:val="21"/>
        </w:rPr>
        <w:t>750kV</w:t>
      </w:r>
      <w:r>
        <w:rPr>
          <w:rFonts w:hint="eastAsia" w:cs="宋体"/>
          <w:szCs w:val="21"/>
        </w:rPr>
        <w:t>架空输电线路设计规范》</w:t>
      </w:r>
      <w:r>
        <w:rPr>
          <w:rFonts w:cs="宋体"/>
          <w:szCs w:val="21"/>
        </w:rPr>
        <w:t>(GB50545-2010)13.0.11</w:t>
      </w:r>
      <w:r>
        <w:rPr>
          <w:rFonts w:hint="eastAsia" w:cs="宋体"/>
          <w:szCs w:val="21"/>
        </w:rPr>
        <w:t>，</w:t>
      </w:r>
      <w:r>
        <w:rPr>
          <w:rFonts w:cs="宋体"/>
          <w:szCs w:val="21"/>
        </w:rPr>
        <w:t>110kV</w:t>
      </w:r>
      <w:r>
        <w:rPr>
          <w:rFonts w:hint="eastAsia" w:cs="宋体"/>
          <w:szCs w:val="21"/>
        </w:rPr>
        <w:t>输电线路与铁路交叉或接近的基本要求如下：临档断线情况的最小垂直距离</w:t>
      </w:r>
      <w:r>
        <w:rPr>
          <w:rFonts w:cs="宋体"/>
          <w:szCs w:val="21"/>
        </w:rPr>
        <w:t>7.0m</w:t>
      </w:r>
      <w:r>
        <w:rPr>
          <w:rFonts w:hint="eastAsia" w:cs="宋体"/>
          <w:szCs w:val="21"/>
        </w:rPr>
        <w:t>、至承力索或接触线</w:t>
      </w:r>
      <w:r>
        <w:rPr>
          <w:rFonts w:cs="宋体"/>
          <w:szCs w:val="21"/>
        </w:rPr>
        <w:t>2.0m</w:t>
      </w:r>
      <w:r>
        <w:rPr>
          <w:rFonts w:hint="eastAsia" w:cs="宋体"/>
          <w:szCs w:val="21"/>
        </w:rPr>
        <w:t>，至轨顶最小垂直距离分别为标准轨</w:t>
      </w:r>
      <w:r>
        <w:rPr>
          <w:rFonts w:cs="宋体"/>
          <w:szCs w:val="21"/>
        </w:rPr>
        <w:t>7.5m</w:t>
      </w:r>
      <w:r>
        <w:rPr>
          <w:rFonts w:hint="eastAsia" w:cs="宋体"/>
          <w:szCs w:val="21"/>
        </w:rPr>
        <w:t>、窄轨</w:t>
      </w:r>
      <w:r>
        <w:rPr>
          <w:rFonts w:cs="宋体"/>
          <w:szCs w:val="21"/>
        </w:rPr>
        <w:t>7.5m</w:t>
      </w:r>
      <w:r>
        <w:rPr>
          <w:rFonts w:hint="eastAsia" w:cs="宋体"/>
          <w:szCs w:val="21"/>
        </w:rPr>
        <w:t>、电气轨</w:t>
      </w:r>
      <w:r>
        <w:rPr>
          <w:rFonts w:cs="宋体"/>
          <w:szCs w:val="21"/>
        </w:rPr>
        <w:t>11.5m</w:t>
      </w:r>
      <w:r>
        <w:rPr>
          <w:rFonts w:hint="eastAsia" w:cs="宋体"/>
          <w:szCs w:val="21"/>
        </w:rPr>
        <w:t>、至承力索或接触线</w:t>
      </w:r>
      <w:r>
        <w:rPr>
          <w:rFonts w:cs="宋体"/>
          <w:szCs w:val="21"/>
        </w:rPr>
        <w:t>3.0m</w:t>
      </w:r>
      <w:r>
        <w:rPr>
          <w:rFonts w:hint="eastAsia" w:cs="宋体"/>
          <w:szCs w:val="21"/>
        </w:rPr>
        <w:t>，杆塔外缘至轨道中心最小距离：交叉塔高加</w:t>
      </w:r>
      <w:r>
        <w:rPr>
          <w:rFonts w:cs="宋体"/>
          <w:szCs w:val="21"/>
        </w:rPr>
        <w:t>3.1m</w:t>
      </w:r>
      <w:r>
        <w:rPr>
          <w:rFonts w:hint="eastAsia" w:cs="宋体"/>
          <w:szCs w:val="21"/>
        </w:rPr>
        <w:t>，无法满足要求时可适当减小，但不得小于</w:t>
      </w:r>
      <w:r>
        <w:rPr>
          <w:rFonts w:cs="宋体"/>
          <w:szCs w:val="21"/>
        </w:rPr>
        <w:t>30m</w:t>
      </w:r>
      <w:r>
        <w:rPr>
          <w:rFonts w:hint="eastAsia" w:cs="宋体"/>
          <w:szCs w:val="21"/>
        </w:rPr>
        <w:t>；平行塔塔高加</w:t>
      </w:r>
      <w:r>
        <w:rPr>
          <w:rFonts w:cs="宋体"/>
          <w:szCs w:val="21"/>
        </w:rPr>
        <w:t>3.1m</w:t>
      </w:r>
      <w:r>
        <w:rPr>
          <w:rFonts w:hint="eastAsia" w:cs="宋体"/>
          <w:szCs w:val="21"/>
        </w:rPr>
        <w:t>，困难时双方协商确定。</w:t>
      </w:r>
    </w:p>
    <w:p>
      <w:pPr>
        <w:spacing w:line="360" w:lineRule="auto"/>
        <w:ind w:firstLine="420" w:firstLineChars="200"/>
        <w:contextualSpacing/>
      </w:pPr>
      <w:r>
        <w:rPr>
          <w:rFonts w:hint="eastAsia" w:cs="宋体"/>
          <w:szCs w:val="21"/>
        </w:rPr>
        <w:t>（</w:t>
      </w:r>
      <w:r>
        <w:rPr>
          <w:rFonts w:cs="宋体"/>
          <w:szCs w:val="21"/>
        </w:rPr>
        <w:t>5</w:t>
      </w:r>
      <w:r>
        <w:rPr>
          <w:rFonts w:hint="eastAsia" w:cs="宋体"/>
          <w:szCs w:val="21"/>
        </w:rPr>
        <w:t>）本工程交叉河流不通航，根据《</w:t>
      </w:r>
      <w:r>
        <w:rPr>
          <w:rFonts w:cs="宋体"/>
          <w:szCs w:val="21"/>
        </w:rPr>
        <w:t>110kV</w:t>
      </w:r>
      <w:r>
        <w:rPr>
          <w:rFonts w:hint="eastAsia" w:cs="宋体"/>
          <w:szCs w:val="21"/>
        </w:rPr>
        <w:t>～</w:t>
      </w:r>
      <w:r>
        <w:rPr>
          <w:rFonts w:cs="宋体"/>
          <w:szCs w:val="21"/>
        </w:rPr>
        <w:t>750kV</w:t>
      </w:r>
      <w:r>
        <w:rPr>
          <w:rFonts w:hint="eastAsia" w:cs="宋体"/>
          <w:szCs w:val="21"/>
        </w:rPr>
        <w:t>架空输电线路设计规范》</w:t>
      </w:r>
      <w:r>
        <w:rPr>
          <w:rFonts w:cs="宋体"/>
          <w:szCs w:val="21"/>
        </w:rPr>
        <w:t>(GB50545-2010)13.0.11</w:t>
      </w:r>
      <w:r>
        <w:rPr>
          <w:rFonts w:hint="eastAsia" w:cs="宋体"/>
          <w:szCs w:val="21"/>
        </w:rPr>
        <w:t>，</w:t>
      </w:r>
      <w:r>
        <w:rPr>
          <w:rFonts w:cs="宋体"/>
          <w:szCs w:val="21"/>
        </w:rPr>
        <w:t>110kV</w:t>
      </w:r>
      <w:r>
        <w:rPr>
          <w:rFonts w:hint="eastAsia" w:cs="宋体"/>
          <w:szCs w:val="21"/>
        </w:rPr>
        <w:t>输电线路与河流交叉或接近的基本要求如下：至百年一遇洪水位最小垂直距离</w:t>
      </w:r>
      <w:r>
        <w:rPr>
          <w:rFonts w:cs="宋体"/>
          <w:szCs w:val="21"/>
        </w:rPr>
        <w:t>3.0m</w:t>
      </w:r>
      <w:r>
        <w:rPr>
          <w:rFonts w:hint="eastAsia" w:cs="宋体"/>
          <w:szCs w:val="21"/>
        </w:rPr>
        <w:t>、冬季至冰面最小垂直距离</w:t>
      </w:r>
      <w:r>
        <w:rPr>
          <w:rFonts w:cs="宋体"/>
          <w:szCs w:val="21"/>
        </w:rPr>
        <w:t>6.0m</w:t>
      </w:r>
      <w:r>
        <w:rPr>
          <w:rFonts w:hint="eastAsia" w:cs="宋体"/>
          <w:szCs w:val="21"/>
        </w:rPr>
        <w:t>，最小水平距离为最高杆（塔）高。</w:t>
      </w:r>
    </w:p>
    <w:p>
      <w:pPr>
        <w:spacing w:line="360" w:lineRule="auto"/>
        <w:ind w:firstLine="420" w:firstLineChars="200"/>
        <w:contextualSpacing/>
      </w:pPr>
      <w:r>
        <w:rPr>
          <w:rFonts w:hint="eastAsia" w:cs="宋体"/>
          <w:szCs w:val="21"/>
        </w:rPr>
        <w:t>（</w:t>
      </w:r>
      <w:r>
        <w:rPr>
          <w:rFonts w:cs="宋体"/>
          <w:szCs w:val="21"/>
        </w:rPr>
        <w:t>6</w:t>
      </w:r>
      <w:r>
        <w:rPr>
          <w:rFonts w:hint="eastAsia" w:cs="宋体"/>
          <w:szCs w:val="21"/>
        </w:rPr>
        <w:t>）新建输电线路应根据现有运行条件配备适当的通信设施。</w:t>
      </w:r>
    </w:p>
    <w:p>
      <w:pPr>
        <w:spacing w:line="360" w:lineRule="auto"/>
        <w:ind w:firstLine="420" w:firstLineChars="200"/>
        <w:contextualSpacing/>
        <w:rPr>
          <w:rFonts w:cs="宋体"/>
          <w:szCs w:val="21"/>
        </w:rPr>
      </w:pPr>
      <w:r>
        <w:rPr>
          <w:rFonts w:hint="eastAsia" w:cs="宋体"/>
          <w:szCs w:val="21"/>
        </w:rPr>
        <w:t>（</w:t>
      </w:r>
      <w:r>
        <w:rPr>
          <w:rFonts w:cs="宋体"/>
          <w:szCs w:val="21"/>
        </w:rPr>
        <w:t>7</w:t>
      </w:r>
      <w:r>
        <w:rPr>
          <w:rFonts w:hint="eastAsia" w:cs="宋体"/>
          <w:szCs w:val="21"/>
        </w:rPr>
        <w:t>）杆塔应设置线路名称、代号、杆塔号、航空障碍标志等固定标志。</w:t>
      </w:r>
    </w:p>
    <w:p>
      <w:pPr>
        <w:keepLines/>
        <w:spacing w:line="360" w:lineRule="auto"/>
        <w:outlineLvl w:val="1"/>
        <w:rPr>
          <w:rFonts w:eastAsia="黑体" w:cs="Times New Roman"/>
          <w:bCs/>
          <w:szCs w:val="32"/>
        </w:rPr>
      </w:pPr>
      <w:r>
        <w:rPr>
          <w:rFonts w:eastAsia="黑体" w:cs="Times New Roman"/>
          <w:bCs/>
          <w:szCs w:val="32"/>
        </w:rPr>
        <w:t>7  电磁环境影响评价结论</w:t>
      </w:r>
    </w:p>
    <w:p>
      <w:pPr>
        <w:spacing w:line="360" w:lineRule="auto"/>
        <w:ind w:firstLine="420" w:firstLineChars="200"/>
        <w:rPr>
          <w:rFonts w:cs="Times New Roman"/>
          <w:szCs w:val="21"/>
          <w:highlight w:val="yellow"/>
        </w:rPr>
      </w:pPr>
      <w:r>
        <w:t>根据</w:t>
      </w:r>
      <w:r>
        <w:rPr>
          <w:rFonts w:hint="eastAsia"/>
        </w:rPr>
        <w:t>电磁环境影响</w:t>
      </w:r>
      <w:r>
        <w:t>预测分析结果，在</w:t>
      </w:r>
      <w:r>
        <w:rPr>
          <w:rFonts w:hint="eastAsia"/>
        </w:rPr>
        <w:t>采取并</w:t>
      </w:r>
      <w:r>
        <w:t>落实</w:t>
      </w:r>
      <w:r>
        <w:rPr>
          <w:rFonts w:hint="eastAsia"/>
        </w:rPr>
        <w:t>相关</w:t>
      </w:r>
      <w:r>
        <w:t>电磁环境保护措施（导线对地</w:t>
      </w:r>
      <w:r>
        <w:rPr>
          <w:rFonts w:hint="eastAsia"/>
        </w:rPr>
        <w:t>最小</w:t>
      </w:r>
      <w:r>
        <w:t>线高）的前提下，工程建成</w:t>
      </w:r>
      <w:r>
        <w:rPr>
          <w:rFonts w:hint="eastAsia"/>
        </w:rPr>
        <w:t>对沿线</w:t>
      </w:r>
      <w:r>
        <w:t>电磁环境敏感目标</w:t>
      </w:r>
      <w:r>
        <w:rPr>
          <w:rFonts w:hint="eastAsia"/>
        </w:rPr>
        <w:t>的</w:t>
      </w:r>
      <w:r>
        <w:t>电磁环境影响</w:t>
      </w:r>
      <w:r>
        <w:rPr>
          <w:rFonts w:hint="eastAsia"/>
        </w:rPr>
        <w:t>能够</w:t>
      </w:r>
      <w:r>
        <w:t>满足《电磁环境控制</w:t>
      </w:r>
      <w:r>
        <w:rPr>
          <w:rFonts w:hint="eastAsia"/>
        </w:rPr>
        <w:t>限值</w:t>
      </w:r>
      <w:r>
        <w:t>》（GB8702-2014）相关限值要求，即工频电场强度≤4</w:t>
      </w:r>
      <w:r>
        <w:rPr>
          <w:rFonts w:hint="eastAsia"/>
        </w:rPr>
        <w:t>k</w:t>
      </w:r>
      <w:r>
        <w:t>V/m，工频磁感应强度≤100μT。</w:t>
      </w:r>
    </w:p>
    <w:p>
      <w:pPr>
        <w:spacing w:line="360" w:lineRule="auto"/>
        <w:ind w:firstLine="420" w:firstLineChars="200"/>
        <w:rPr>
          <w:rFonts w:cs="Times New Roman"/>
          <w:szCs w:val="21"/>
          <w:highlight w:val="yellow"/>
        </w:rPr>
      </w:pPr>
    </w:p>
    <w:p>
      <w:pPr>
        <w:pStyle w:val="2"/>
        <w:rPr>
          <w:highlight w:val="yellow"/>
        </w:rPr>
      </w:pPr>
    </w:p>
    <w:p>
      <w:pPr>
        <w:pStyle w:val="2"/>
        <w:rPr>
          <w:highlight w:val="yellow"/>
        </w:rPr>
        <w:sectPr>
          <w:footerReference r:id="rId5" w:type="default"/>
          <w:pgSz w:w="11906" w:h="16838"/>
          <w:pgMar w:top="1418" w:right="1418" w:bottom="1418" w:left="1418" w:header="851" w:footer="992" w:gutter="0"/>
          <w:cols w:space="425" w:num="1"/>
          <w:docGrid w:type="lines" w:linePitch="312" w:charSpace="0"/>
        </w:sectPr>
      </w:pPr>
    </w:p>
    <w:p>
      <w:pPr>
        <w:keepNext/>
        <w:spacing w:line="0" w:lineRule="atLeast"/>
        <w:outlineLvl w:val="0"/>
        <w:rPr>
          <w:rFonts w:eastAsia="黑体" w:cs="Times New Roman"/>
          <w:bCs/>
          <w:sz w:val="28"/>
          <w:szCs w:val="28"/>
        </w:rPr>
      </w:pPr>
      <w:r>
        <w:rPr>
          <w:rFonts w:hint="eastAsia" w:eastAsia="黑体" w:cs="Times New Roman"/>
          <w:bCs/>
          <w:sz w:val="28"/>
          <w:szCs w:val="28"/>
        </w:rPr>
        <w:t>附图</w:t>
      </w:r>
    </w:p>
    <w:p>
      <w:pPr>
        <w:keepLines/>
        <w:spacing w:line="360" w:lineRule="auto"/>
        <w:outlineLvl w:val="1"/>
        <w:rPr>
          <w:rFonts w:eastAsia="黑体" w:cs="Times New Roman"/>
          <w:bCs/>
          <w:szCs w:val="32"/>
        </w:rPr>
      </w:pPr>
      <w:r>
        <w:rPr>
          <w:rFonts w:hint="eastAsia" w:eastAsia="黑体" w:cs="Times New Roman"/>
          <w:bCs/>
          <w:szCs w:val="32"/>
        </w:rPr>
        <w:t>附图1本项目地理位置图</w:t>
      </w:r>
    </w:p>
    <w:p>
      <w:pPr>
        <w:pStyle w:val="2"/>
        <w:jc w:val="center"/>
        <w:rPr>
          <w:highlight w:val="yellow"/>
        </w:rPr>
      </w:pPr>
      <w:r>
        <w:rPr>
          <w:sz w:val="24"/>
        </w:rPr>
        <mc:AlternateContent>
          <mc:Choice Requires="wps">
            <w:drawing>
              <wp:anchor distT="0" distB="0" distL="114300" distR="114300" simplePos="0" relativeHeight="251674624" behindDoc="0" locked="0" layoutInCell="1" allowOverlap="1">
                <wp:simplePos x="0" y="0"/>
                <wp:positionH relativeFrom="column">
                  <wp:posOffset>3715385</wp:posOffset>
                </wp:positionH>
                <wp:positionV relativeFrom="paragraph">
                  <wp:posOffset>2815590</wp:posOffset>
                </wp:positionV>
                <wp:extent cx="786765" cy="301625"/>
                <wp:effectExtent l="19050" t="287020" r="13335" b="20955"/>
                <wp:wrapNone/>
                <wp:docPr id="1684149912" name="圆角矩形标注 4"/>
                <wp:cNvGraphicFramePr/>
                <a:graphic xmlns:a="http://schemas.openxmlformats.org/drawingml/2006/main">
                  <a:graphicData uri="http://schemas.microsoft.com/office/word/2010/wordprocessingShape">
                    <wps:wsp>
                      <wps:cNvSpPr/>
                      <wps:spPr>
                        <a:xfrm>
                          <a:off x="0" y="0"/>
                          <a:ext cx="786765" cy="301625"/>
                        </a:xfrm>
                        <a:prstGeom prst="wedgeRoundRectCallout">
                          <a:avLst>
                            <a:gd name="adj1" fmla="val -50080"/>
                            <a:gd name="adj2" fmla="val -137578"/>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rPr>
                            </w:pPr>
                            <w:r>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4" o:spid="_x0000_s1026" o:spt="62" type="#_x0000_t62" style="position:absolute;left:0pt;margin-left:292.55pt;margin-top:221.7pt;height:23.75pt;width:61.95pt;z-index:251674624;v-text-anchor:middle;mso-width-relative:page;mso-height-relative:page;" filled="f" stroked="t" coordsize="21600,21600" o:gfxdata="UEsDBAoAAAAAAIdO4kAAAAAAAAAAAAAAAAAEAAAAZHJzL1BLAwQUAAAACACHTuJA94ddadsAAAAL&#10;AQAADwAAAGRycy9kb3ducmV2LnhtbE2Py07DMBBF90j8gzVI7KgdSB8JcSoUUVZIFaWIrRObOBCP&#10;Q+ymha9nWMFyZo7unFusT65nkxlD51FCMhPADDZed9hK2D9vrlbAQlSoVe/RSPgyAdbl+Vmhcu2P&#10;+GSmXWwZhWDIlQQb45BzHhprnAozPxik25sfnYo0ji3XozpSuOv5tRAL7lSH9MGqwVTWNB+7g5Pw&#10;UHf3dy+bkEyLb1u9V1v9+vmopby8SMQtsGhO8Q+GX31Sh5Kcan9AHVgvYb6aJ4RKSNObFBgRS5FR&#10;u5o2mciAlwX/36H8AVBLAwQUAAAACACHTuJACmHsIbECAAAlBQAADgAAAGRycy9lMm9Eb2MueG1s&#10;rVTNbhMxEL4j8Q6W7+3upskmjbqpolRBSBWNWhBnx+v9Qf7DdrIpDwB3zkggLsCZM4/TwmMw9m7a&#10;5eeEyMGZ2RnPzPfNjE9Od4KjLTO2VjLDyWGMEZNU5bUsM/zs6fJggpF1ROaEK8kyfM0sPp09fHDS&#10;6CkbqErxnBkEQaSdNjrDlXN6GkWWVkwQe6g0k2AslBHEgWrKKDekgeiCR4M4TqNGmVwbRZm18PWs&#10;NeJZiF8UjLqLorDMIZ5hqM2F04Rz7c9odkKmpSG6qmlXBvmHKgSpJSS9C3VGHEEbU/8RStTUKKsK&#10;d0iViFRR1JQFDIAmiX9Dc1URzQIWIMfqO5rs/wtLn2xXBtU59C6dDJPh8XEywEgSAb26eff6x6e3&#10;399/ufn28fbDm9uvn9HQE9ZoO4V7V3plOs2C6NHvCiP8P+BCu0Dy9R3JbOcQhY/jSTpORxhRMB3F&#10;SToY+ZjR/WVtrHvElEBeyHDD8pJdqo3ML6GbC8K52rjANdmeWxdIz7uKSf4iwagQHHq4JRwdjOJ4&#10;sm9yzwkg9pySo/FoPOlGoed11PdK0jQdd5V2iaHmfa2+CqmWNedhoLhEDTA6GMcwc5TAXBecOBCF&#10;BqatLDEivISFoc4EKFbxOvfXfSBryvWCGwQIMrxcxvDrEv/i5nOfEVu1fsHUYhC1g53itcjwxF/e&#10;3+YSePbNa9vlJbdb77oerlV+DaNgVLsjVtNlDRnOiXUrYoBQgAKL7i7gKLgCfKqTMKqUefW3794f&#10;ZhWsGDWwZID95YYYhhF/LGGKj5Ph0G9lUIaj8QAU07es+xa5EQsFlECLobogen/H92JhlHgO78Hc&#10;ZwUTkRRytyx3ysK1yw8vCmXzeXCDTdTEncsrTX3wtpfzjVNF7fxoeqJadjoFdjFMbPdu+GXv68Hr&#10;/nWb/Q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D3h11p2wAAAAsBAAAPAAAAAAAAAAEAIAAAACIA&#10;AABkcnMvZG93bnJldi54bWxQSwECFAAUAAAACACHTuJACmHsIbECAAAlBQAADgAAAAAAAAABACAA&#10;AAAqAQAAZHJzL2Uyb0RvYy54bWxQSwUGAAAAAAYABgBZAQAATQYAAAAA&#10;" adj="-17,-18917,14400">
                <v:fill on="f" focussize="0,0"/>
                <v:stroke weight="1pt" color="#FF0000 [3204]" miterlimit="8" joinstyle="miter"/>
                <v:imagedata o:title=""/>
                <o:lock v:ext="edit" aspectratio="f"/>
                <v:textbox>
                  <w:txbxContent>
                    <w:p>
                      <w:pPr>
                        <w:jc w:val="center"/>
                        <w:rPr>
                          <w:b/>
                          <w:bCs/>
                          <w:color w:val="FF0000"/>
                        </w:rPr>
                      </w:pPr>
                      <w:r>
                        <w:rPr>
                          <w:rFonts w:hint="eastAsia"/>
                          <w:b/>
                          <w:bCs/>
                          <w:color w:val="FF0000"/>
                        </w:rPr>
                        <w:t>项目位置</w:t>
                      </w:r>
                    </w:p>
                  </w:txbxContent>
                </v:textbox>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3656330</wp:posOffset>
                </wp:positionH>
                <wp:positionV relativeFrom="paragraph">
                  <wp:posOffset>2470150</wp:posOffset>
                </wp:positionV>
                <wp:extent cx="75565" cy="79375"/>
                <wp:effectExtent l="17780" t="22225" r="20955" b="31750"/>
                <wp:wrapNone/>
                <wp:docPr id="5" name="五角星 5"/>
                <wp:cNvGraphicFramePr/>
                <a:graphic xmlns:a="http://schemas.openxmlformats.org/drawingml/2006/main">
                  <a:graphicData uri="http://schemas.microsoft.com/office/word/2010/wordprocessingShape">
                    <wps:wsp>
                      <wps:cNvSpPr/>
                      <wps:spPr>
                        <a:xfrm>
                          <a:off x="0" y="0"/>
                          <a:ext cx="75565" cy="7937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87.9pt;margin-top:194.5pt;height:6.25pt;width:5.95pt;z-index:251675648;v-text-anchor:middle;mso-width-relative:page;mso-height-relative:page;" fillcolor="#FF0000" filled="t" stroked="t" coordsize="75565,79375" o:gfxdata="UEsDBAoAAAAAAIdO4kAAAAAAAAAAAAAAAAAEAAAAZHJzL1BLAwQUAAAACACHTuJAmcy9SNoAAAAL&#10;AQAADwAAAGRycy9kb3ducmV2LnhtbE2PMU/DMBSEdyT+g/WQ2KgdaJoQ4nSoxIAYEIGlmxs/4kD8&#10;HGwnLfx6zATj6U5339Xbkx3Zgj4MjiRkKwEMqXN6oF7C68v9VQksREVajY5QwhcG2DbnZ7WqtDvS&#10;My5t7FkqoVApCSbGqeI8dAatCis3ISXvzXmrYpK+59qrYyq3I78WYsOtGigtGDXhzmD30c5WwsP+&#10;2/DHeab17n3PW2EX/7l5kvLyIhN3wCKe4l8YfvETOjSJ6eBm0oGNEvIiT+hRwk15m06lRF4WBbCD&#10;hLXIcuBNzf9/aH4AUEsDBBQAAAAIAIdO4kDM5hssVgIAAKcEAAAOAAAAZHJzL2Uyb0RvYy54bWyt&#10;VM1uEzEQviPxDpbvdJPQNG3UTRW1CkKqaKSCODteO2vJf9hONuUxEAduHHkHngchHoPP3vQPOCBE&#10;Ds6MZzw/33yzp2c7o8lWhKicrenwYECJsNw1yq5r+ub14tkxJTEx2zDtrKjpjYj0bPb0yWnnp2Lk&#10;WqcbEQiC2DjtfE3blPy0qiJvhWHxwHlhYZQuGJaghnXVBNYhutHVaDA4qjoXGh8cFzHi9qI30lmJ&#10;L6Xg6UrKKBLRNUVtqZyhnKt8VrNTNl0H5lvF92Wwf6jCMGWR9C7UBUuMbIL6LZRRPLjoZDrgzlRO&#10;SsVF6QHdDAe/dHPdMi9KLwAn+juY4v8Ly19tl4GopqZjSiwzGNG3rx9/fPnw/dNnMs7wdD5O4XXt&#10;l2GvRYi5150MJv+jC7IrkN7cQSp2iXBcTsbjI0TmsExOnk9KxOr+qQ8xvRDOkCzUFEwJ44Ij217G&#10;hHzwvfXJqaLTqlkorYsS1qtzHciWYbiLxQC/XDCePHLTlnSg5mgCM+EMJJOaJYjGo+1o15QwvQZ7&#10;eQol96PX8e+S5CIvWGz7YkqEnltGJRBcK1PT41zhbYnaotKMbY9mllauucEwgutZGj1fKIS9ZDEt&#10;WQAtUT9WLV3hkNqhKbeXKGldeP+n++wPtsBKSQeao+F3GxYEJfqlBY9OhoeHeS+KcjiejKCEh5bV&#10;Q4vdmHMHsIdYas+LmP2TvhVlcOYtNnKes8LELEfuHtq9cp769cNOczGfFzfsgmfp0l57noPn4Vo3&#10;3yQnVSHBPTp70LANZdD7zc3r9lAvXvffl9l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mcy9SNoA&#10;AAALAQAADwAAAAAAAAABACAAAAAiAAAAZHJzL2Rvd25yZXYueG1sUEsBAhQAFAAAAAgAh07iQMzm&#10;GyxWAgAApwQAAA4AAAAAAAAAAQAgAAAAKQEAAGRycy9lMm9Eb2MueG1sUEsFBgAAAAAGAAYAWQEA&#10;APEFAAAAAA==&#10;" path="m0,30318l28863,30318,37782,0,46701,30318,75564,30318,52213,49056,61133,79374,37782,60636,14431,79374,23351,49056xe">
                <v:path o:connectlocs="37782,0;0,30318;14431,79374;61133,79374;75564,30318" o:connectangles="247,164,82,82,0"/>
                <v:fill on="t" focussize="0,0"/>
                <v:stroke weight="1pt" color="#FF0000 [3204]" miterlimit="8" joinstyle="miter"/>
                <v:imagedata o:title=""/>
                <o:lock v:ext="edit" aspectratio="f"/>
              </v:shape>
            </w:pict>
          </mc:Fallback>
        </mc:AlternateContent>
      </w:r>
      <w:r>
        <w:rPr>
          <w:rFonts w:ascii="Times New Roman" w:hAnsi="Times New Roman" w:cs="Times New Roman"/>
          <w:b/>
          <w:bCs/>
          <w:sz w:val="24"/>
        </w:rPr>
        <w:drawing>
          <wp:inline distT="0" distB="0" distL="114300" distR="114300">
            <wp:extent cx="7067550" cy="5000625"/>
            <wp:effectExtent l="0" t="0" r="0" b="9525"/>
            <wp:docPr id="1" name="图片 1" descr="海宁市行政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海宁市行政区划图"/>
                    <pic:cNvPicPr>
                      <a:picLocks noChangeAspect="1"/>
                    </pic:cNvPicPr>
                  </pic:nvPicPr>
                  <pic:blipFill>
                    <a:blip r:embed="rId32"/>
                    <a:stretch>
                      <a:fillRect/>
                    </a:stretch>
                  </pic:blipFill>
                  <pic:spPr>
                    <a:xfrm>
                      <a:off x="0" y="0"/>
                      <a:ext cx="7067550" cy="5000625"/>
                    </a:xfrm>
                    <a:prstGeom prst="rect">
                      <a:avLst/>
                    </a:prstGeom>
                  </pic:spPr>
                </pic:pic>
              </a:graphicData>
            </a:graphic>
          </wp:inline>
        </w:drawing>
      </w:r>
    </w:p>
    <w:p>
      <w:pPr>
        <w:keepLines/>
        <w:spacing w:line="360" w:lineRule="auto"/>
        <w:outlineLvl w:val="1"/>
        <w:rPr>
          <w:rFonts w:eastAsia="黑体" w:cs="Times New Roman"/>
          <w:bCs/>
          <w:szCs w:val="32"/>
        </w:rPr>
      </w:pPr>
      <w:r>
        <w:rPr>
          <w:rFonts w:hint="eastAsia" w:eastAsia="黑体" w:cs="Times New Roman"/>
          <w:bCs/>
          <w:szCs w:val="32"/>
        </w:rPr>
        <w:t>附图</w:t>
      </w:r>
      <w:r>
        <w:rPr>
          <w:rFonts w:eastAsia="黑体" w:cs="Times New Roman"/>
          <w:bCs/>
          <w:szCs w:val="32"/>
        </w:rPr>
        <w:t>2</w:t>
      </w:r>
      <w:r>
        <w:rPr>
          <w:rFonts w:hint="eastAsia" w:eastAsia="黑体" w:cs="Times New Roman"/>
          <w:bCs/>
          <w:szCs w:val="32"/>
        </w:rPr>
        <w:t>本项目与海宁市“三线一单”生态环境分区位置关系图</w:t>
      </w:r>
    </w:p>
    <w:p>
      <w:pPr>
        <w:pStyle w:val="2"/>
        <w:jc w:val="center"/>
        <w:rPr>
          <w:highlight w:val="yellow"/>
        </w:rPr>
      </w:pPr>
      <w:r>
        <w:rPr>
          <w:highlight w:val="yellow"/>
        </w:rPr>
        <w:drawing>
          <wp:inline distT="0" distB="0" distL="0" distR="0">
            <wp:extent cx="7380605" cy="5219700"/>
            <wp:effectExtent l="0" t="0" r="0" b="0"/>
            <wp:docPr id="1294431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3186" name="图片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7380835" cy="5220000"/>
                    </a:xfrm>
                    <a:prstGeom prst="rect">
                      <a:avLst/>
                    </a:prstGeom>
                    <a:noFill/>
                    <a:ln>
                      <a:noFill/>
                    </a:ln>
                  </pic:spPr>
                </pic:pic>
              </a:graphicData>
            </a:graphic>
          </wp:inline>
        </w:drawing>
      </w:r>
    </w:p>
    <w:p>
      <w:pPr>
        <w:keepLines/>
        <w:tabs>
          <w:tab w:val="center" w:pos="7001"/>
        </w:tabs>
        <w:spacing w:line="360" w:lineRule="auto"/>
        <w:outlineLvl w:val="1"/>
        <w:rPr>
          <w:rFonts w:eastAsia="黑体" w:cs="Times New Roman"/>
          <w:bCs/>
          <w:szCs w:val="32"/>
        </w:rPr>
      </w:pPr>
      <w:r>
        <w:rPr>
          <w:rFonts w:hint="eastAsia" w:eastAsia="黑体" w:cs="Times New Roman"/>
          <w:bCs/>
          <w:szCs w:val="32"/>
        </w:rPr>
        <w:t>附图</w:t>
      </w:r>
      <w:r>
        <w:rPr>
          <w:rFonts w:eastAsia="黑体" w:cs="Times New Roman"/>
          <w:bCs/>
          <w:szCs w:val="32"/>
        </w:rPr>
        <w:t>3</w:t>
      </w:r>
      <w:r>
        <w:rPr>
          <w:rFonts w:hint="eastAsia" w:eastAsia="黑体" w:cs="Times New Roman"/>
          <w:bCs/>
          <w:szCs w:val="32"/>
        </w:rPr>
        <w:t>本项目与海宁市水环境功能区划位置关系示意图</w:t>
      </w:r>
      <w:r>
        <w:rPr>
          <w:rFonts w:eastAsia="黑体" w:cs="Times New Roman"/>
          <w:bCs/>
          <w:szCs w:val="32"/>
        </w:rPr>
        <w:tab/>
      </w:r>
    </w:p>
    <w:p>
      <w:pPr>
        <w:pStyle w:val="2"/>
        <w:jc w:val="center"/>
        <w:rPr>
          <w:highlight w:val="yellow"/>
        </w:rPr>
      </w:pPr>
      <w:r>
        <w:rPr>
          <w:highlight w:val="yellow"/>
        </w:rPr>
        <w:drawing>
          <wp:inline distT="0" distB="0" distL="0" distR="0">
            <wp:extent cx="7593330" cy="5219700"/>
            <wp:effectExtent l="0" t="0" r="7620" b="0"/>
            <wp:docPr id="2003384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8482" name="图片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7593461" cy="5220000"/>
                    </a:xfrm>
                    <a:prstGeom prst="rect">
                      <a:avLst/>
                    </a:prstGeom>
                    <a:noFill/>
                    <a:ln>
                      <a:noFill/>
                    </a:ln>
                  </pic:spPr>
                </pic:pic>
              </a:graphicData>
            </a:graphic>
          </wp:inline>
        </w:drawing>
      </w:r>
    </w:p>
    <w:p>
      <w:pPr>
        <w:keepLines/>
        <w:spacing w:line="360" w:lineRule="auto"/>
        <w:outlineLvl w:val="1"/>
        <w:rPr>
          <w:rFonts w:eastAsia="黑体" w:cs="Times New Roman"/>
          <w:bCs/>
          <w:szCs w:val="32"/>
        </w:rPr>
      </w:pPr>
      <w:r>
        <w:rPr>
          <w:rFonts w:hint="eastAsia" w:eastAsia="黑体" w:cs="Times New Roman"/>
          <w:bCs/>
          <w:szCs w:val="32"/>
        </w:rPr>
        <w:t>附图</w:t>
      </w:r>
      <w:r>
        <w:rPr>
          <w:rFonts w:eastAsia="黑体" w:cs="Times New Roman"/>
          <w:bCs/>
          <w:szCs w:val="32"/>
        </w:rPr>
        <w:t>4</w:t>
      </w:r>
      <w:r>
        <w:rPr>
          <w:rFonts w:hint="eastAsia" w:eastAsia="黑体" w:cs="Times New Roman"/>
          <w:bCs/>
          <w:szCs w:val="32"/>
        </w:rPr>
        <w:t>本项目与海宁市环境空气功能区划位置关系示意图</w:t>
      </w:r>
    </w:p>
    <w:p>
      <w:pPr>
        <w:pStyle w:val="2"/>
        <w:jc w:val="center"/>
        <w:rPr>
          <w:highlight w:val="yellow"/>
        </w:rPr>
      </w:pPr>
      <w:r>
        <w:rPr>
          <w:sz w:val="24"/>
        </w:rPr>
        <mc:AlternateContent>
          <mc:Choice Requires="wps">
            <w:drawing>
              <wp:anchor distT="0" distB="0" distL="114300" distR="114300" simplePos="0" relativeHeight="251677696" behindDoc="0" locked="0" layoutInCell="1" allowOverlap="1">
                <wp:simplePos x="0" y="0"/>
                <wp:positionH relativeFrom="column">
                  <wp:posOffset>2835910</wp:posOffset>
                </wp:positionH>
                <wp:positionV relativeFrom="paragraph">
                  <wp:posOffset>4549140</wp:posOffset>
                </wp:positionV>
                <wp:extent cx="786765" cy="301625"/>
                <wp:effectExtent l="19050" t="287020" r="13335" b="20955"/>
                <wp:wrapNone/>
                <wp:docPr id="1391384315" name="圆角矩形标注 4"/>
                <wp:cNvGraphicFramePr/>
                <a:graphic xmlns:a="http://schemas.openxmlformats.org/drawingml/2006/main">
                  <a:graphicData uri="http://schemas.microsoft.com/office/word/2010/wordprocessingShape">
                    <wps:wsp>
                      <wps:cNvSpPr/>
                      <wps:spPr>
                        <a:xfrm>
                          <a:off x="0" y="0"/>
                          <a:ext cx="786765" cy="301625"/>
                        </a:xfrm>
                        <a:prstGeom prst="wedgeRoundRectCallout">
                          <a:avLst>
                            <a:gd name="adj1" fmla="val -50080"/>
                            <a:gd name="adj2" fmla="val -137578"/>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rPr>
                            </w:pPr>
                            <w:r>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4" o:spid="_x0000_s1026" o:spt="62" type="#_x0000_t62" style="position:absolute;left:0pt;margin-left:223.3pt;margin-top:358.2pt;height:23.75pt;width:61.95pt;z-index:251677696;v-text-anchor:middle;mso-width-relative:page;mso-height-relative:page;" filled="f" stroked="t" coordsize="21600,21600" o:gfxdata="UEsDBAoAAAAAAIdO4kAAAAAAAAAAAAAAAAAEAAAAZHJzL1BLAwQUAAAACACHTuJAnjNy0toAAAAL&#10;AQAADwAAAGRycy9kb3ducmV2LnhtbE2PwU7DMAyG70i8Q2QkbiwpdBmUphOqGCckxABxTRvTFBqn&#10;NFk3eHrCCY62P/3+/nJ9cAObcQq9JwXZQgBDar3pqVPw/LQ5uwQWoiajB0+o4AsDrKvjo1IXxu/p&#10;Eedt7FgKoVBoBTbGseA8tBadDgs/IqXbm5+cjmmcOm4mvU/hbuDnQkjudE/pg9Uj1hbbj+3OKbhr&#10;+tubl03IZvlt6/f6wbx+3hulTk8ycQ0s4iH+wfCrn9ShSk6N35EJbFCQ51ImVMEqkzmwRCxXYgms&#10;SRt5cQW8Kvn/DtUPUEsDBBQAAAAIAIdO4kDp/8nCrwIAACUFAAAOAAAAZHJzL2Uyb0RvYy54bWyt&#10;VM1uEzEQviPxDpbv7e7mZzeNuqmiVEFIFVQtiLPj9f4g/2E72ZQHgDtnJBAX4MyZx2nhMRh7N20K&#10;nBA5ODM745n5vpnx8clWcLRhxjZK5jg5jDFikqqikVWOnz9bHkwwso7IgnAlWY6vmMUns4cPjls9&#10;ZQNVK14wgyCItNNW57h2Tk+jyNKaCWIPlWYSjKUygjhQTRUVhrQQXfBoEMdp1CpTaKMosxa+nnZG&#10;PAvxy5JR97QsLXOI5xhqc+E04Vz5M5odk2lliK4b2pdB/qEKQRoJSW9DnRJH0No0f4QSDTXKqtId&#10;UiUiVZYNZQEDoEni39Bc1kSzgAXIsfqWJvv/wtInm3ODmgJ6NzxKhpPRMBljJImAXl2/f/Pz87sf&#10;H75ef/908/HtzbcvaOQJa7Wdwr1LfW56zYLo0W9LI/w/4ELbQPLVLcls6xCFj9kkzVLIQcE0jJN0&#10;MPYxo7vL2lj3iCmBvJDjlhUVu1BrWVxANxeEc7V2gWuyObMukF70FZPiZYJRKTj0cEM4OhjH8WTX&#10;5D2nwT2nZJiNs0k/Cntew32vJE3TrK+0Tww172r1VUi1bDgPA8UlaoHRQRbDzFECc11y4kAUGpi2&#10;ssKI8AoWhjoToFjFm8Jf94GsqVYLbhAgyPFyGcOvT3zPzec+Jbbu/IKpwyAaBzvFG5Hjib+8u80l&#10;8Oyb17XLS2672vY9XKniCkbBqG5HrKbLBjKcEevOiQFCAQosunsKR8kV4FO9hFGtzOu/fff+MKtg&#10;xaiFJQPsr9bEMIz4YwlTfJSMRn4rgzIaZwNQzL5ltW+Ra7FQQAm0GKoLovd3fCeWRokX8B7MfVYw&#10;EUkhd8dyryxct/zwolA2nwc32ERN3Jm81NQH73o5XztVNs6PpieqY6dXYBfDxPbvhl/2fT143b1u&#10;s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eM3LS2gAAAAsBAAAPAAAAAAAAAAEAIAAAACIAAABk&#10;cnMvZG93bnJldi54bWxQSwECFAAUAAAACACHTuJA6f/Jwq8CAAAlBQAADgAAAAAAAAABACAAAAAp&#10;AQAAZHJzL2Uyb0RvYy54bWxQSwUGAAAAAAYABgBZAQAASgYAAAAA&#10;" adj="-17,-18917,14400">
                <v:fill on="f" focussize="0,0"/>
                <v:stroke weight="1pt" color="#FF0000 [3204]" miterlimit="8" joinstyle="miter"/>
                <v:imagedata o:title=""/>
                <o:lock v:ext="edit" aspectratio="f"/>
                <v:textbox>
                  <w:txbxContent>
                    <w:p>
                      <w:pPr>
                        <w:jc w:val="center"/>
                        <w:rPr>
                          <w:b/>
                          <w:bCs/>
                          <w:color w:val="FF0000"/>
                        </w:rPr>
                      </w:pPr>
                      <w:r>
                        <w:rPr>
                          <w:rFonts w:hint="eastAsia"/>
                          <w:b/>
                          <w:bCs/>
                          <w:color w:val="FF0000"/>
                        </w:rPr>
                        <w:t>项目位置</w:t>
                      </w: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2776855</wp:posOffset>
                </wp:positionH>
                <wp:positionV relativeFrom="paragraph">
                  <wp:posOffset>4214495</wp:posOffset>
                </wp:positionV>
                <wp:extent cx="75565" cy="79375"/>
                <wp:effectExtent l="17780" t="22225" r="20955" b="31750"/>
                <wp:wrapNone/>
                <wp:docPr id="605298440" name="五角星 5"/>
                <wp:cNvGraphicFramePr/>
                <a:graphic xmlns:a="http://schemas.openxmlformats.org/drawingml/2006/main">
                  <a:graphicData uri="http://schemas.microsoft.com/office/word/2010/wordprocessingShape">
                    <wps:wsp>
                      <wps:cNvSpPr/>
                      <wps:spPr>
                        <a:xfrm>
                          <a:off x="0" y="0"/>
                          <a:ext cx="75565" cy="7937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5" o:spid="_x0000_s1026" style="position:absolute;left:0pt;margin-left:218.65pt;margin-top:331.85pt;height:6.25pt;width:5.95pt;z-index:251678720;v-text-anchor:middle;mso-width-relative:page;mso-height-relative:page;" fillcolor="#FF0000" filled="t" stroked="t" coordsize="75565,79375" o:gfxdata="UEsDBAoAAAAAAIdO4kAAAAAAAAAAAAAAAAAEAAAAZHJzL1BLAwQUAAAACACHTuJAVelOYdoAAAAL&#10;AQAADwAAAGRycy9kb3ducmV2LnhtbE2PsU7DMBCGdyTewTokNmo3iRxI43SoxIAYEClLNzc2cUp8&#10;DraTFp4eM8F4d5/++/56e7EjWbQPg0MB6xUDorFzasBewNv+8e4eSIgSlRwdagFfOsC2ub6qZaXc&#10;GV/10saepBAMlRRgYpwqSkNntJVh5SaN6fbuvJUxjb6nystzCrcjzRjj1MoB0wcjJ70zuvtoZyvg&#10;6fBt6PM8Y7E7HWjL7OI/+YsQtzdrtgES9SX+wfCrn9ShSU5HN6MKZBRQ5GWeUAGc5yWQRBTFQwbk&#10;mDYlz4A2Nf3fofkBUEsDBBQAAAAIAIdO4kAiMh45XgIAAK8EAAAOAAAAZHJzL2Uyb0RvYy54bWyt&#10;VM1uEzEQviPxDpbvdJPQbdqomypqFYRU0UgFcXa83qwl/2E72ZTHQBy4ceQdeB6EeAw+e9OkBQ4I&#10;kYMz4xnPzzff7PnFViuyET5Iayo6PBpQIgy3tTSrir55PX92SkmIzNRMWSMqeicCvZg+fXLeuYkY&#10;2daqWniCICZMOlfRNkY3KYrAW6FZOLJOGBgb6zWLUP2qqD3rEF2rYjQYnBSd9bXzlosQcHvVG+k0&#10;x28aweNN0wQRiaooaov59PlcprOYnrPJyjPXSr4rg/1DFZpJg6T7UFcsMrL28rdQWnJvg23iEbe6&#10;sE0jucg9oJvh4JdublvmRO4F4AS3hyn8v7D81WbhiawrejIoR2enx8dAyTCNUX37+vHHlw/fP30m&#10;ZYKpc2EC71u38DstQEw9bxuv0z+6IdsM7d0eWrGNhONyXJYnJSUclvHZ83GOWByeOh/iC2E1SUJF&#10;wRhfZjzZ5jpE5IPvvU9KFayS9VwqlRW/Wl4qTzYMQ57PB/ilgvHkkZsypANFR2OYCWcgW6NYhKgd&#10;2g9mRQlTK7CYR59zP3od/i5JKvKKhbYvJkfoOaZlBNGV1BU9TRXel6gMKk3Y9mgmaWnrOwzF256t&#10;wfG5RNhrFuKCedAT9WPl4g2ORlk0ZXcSJa317/90n/zBGlgp6UB3NPxuzbygRL004NPZME8+ZuW4&#10;HI+Qwz+0LB9azFpfWoA9xHI7nsXkH9W92Hir32IzZykrTMxw5O6h3SmXsV9D7DYXs1l2w044Fq/N&#10;reMpeBqusbN1tI3MJDigswMNW5EHvdvgtHYP9ex1+M5M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V6U5h2gAAAAsBAAAPAAAAAAAAAAEAIAAAACIAAABkcnMvZG93bnJldi54bWxQSwECFAAUAAAA&#10;CACHTuJAIjIeOV4CAACvBAAADgAAAAAAAAABACAAAAApAQAAZHJzL2Uyb0RvYy54bWxQSwUGAAAA&#10;AAYABgBZAQAA+QUAAAAA&#10;" path="m0,30318l28863,30318,37782,0,46701,30318,75564,30318,52213,49056,61133,79374,37782,60636,14431,79374,23351,49056xe">
                <v:path o:connectlocs="37782,0;0,30318;14431,79374;61133,79374;75564,30318" o:connectangles="247,164,82,82,0"/>
                <v:fill on="t" focussize="0,0"/>
                <v:stroke weight="1pt" color="#FF0000 [3204]" miterlimit="8" joinstyle="miter"/>
                <v:imagedata o:title=""/>
                <o:lock v:ext="edit" aspectratio="f"/>
              </v:shape>
            </w:pict>
          </mc:Fallback>
        </mc:AlternateContent>
      </w:r>
      <w:r>
        <w:rPr>
          <w:rFonts w:ascii="Times New Roman" w:hAnsi="Times New Roman" w:cs="Times New Roman"/>
          <w:b/>
          <w:bCs/>
          <w:sz w:val="24"/>
        </w:rPr>
        <w:drawing>
          <wp:inline distT="0" distB="0" distL="114300" distR="114300">
            <wp:extent cx="6600825" cy="5219700"/>
            <wp:effectExtent l="0" t="0" r="0" b="0"/>
            <wp:docPr id="38" name="图片 38" descr="嘉兴市环境空气质量功能区划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嘉兴市环境空气质量功能区划分图"/>
                    <pic:cNvPicPr>
                      <a:picLocks noChangeAspect="1"/>
                    </pic:cNvPicPr>
                  </pic:nvPicPr>
                  <pic:blipFill>
                    <a:blip r:embed="rId35"/>
                    <a:stretch>
                      <a:fillRect/>
                    </a:stretch>
                  </pic:blipFill>
                  <pic:spPr>
                    <a:xfrm>
                      <a:off x="0" y="0"/>
                      <a:ext cx="6601110" cy="5220000"/>
                    </a:xfrm>
                    <a:prstGeom prst="rect">
                      <a:avLst/>
                    </a:prstGeom>
                  </pic:spPr>
                </pic:pic>
              </a:graphicData>
            </a:graphic>
          </wp:inline>
        </w:drawing>
      </w:r>
    </w:p>
    <w:p>
      <w:pPr>
        <w:keepLines/>
        <w:spacing w:line="360" w:lineRule="auto"/>
        <w:outlineLvl w:val="1"/>
        <w:rPr>
          <w:rFonts w:eastAsia="黑体" w:cs="Times New Roman"/>
          <w:bCs/>
          <w:szCs w:val="32"/>
        </w:rPr>
      </w:pPr>
      <w:r>
        <w:rPr>
          <w:rFonts w:hint="eastAsia" w:eastAsia="黑体" w:cs="Times New Roman"/>
          <w:bCs/>
          <w:szCs w:val="32"/>
        </w:rPr>
        <w:t>附图</w:t>
      </w:r>
      <w:r>
        <w:rPr>
          <w:rFonts w:eastAsia="黑体" w:cs="Times New Roman"/>
          <w:bCs/>
          <w:szCs w:val="32"/>
        </w:rPr>
        <w:t>5</w:t>
      </w:r>
      <w:r>
        <w:rPr>
          <w:rFonts w:hint="eastAsia" w:eastAsia="黑体" w:cs="Times New Roman"/>
          <w:bCs/>
          <w:szCs w:val="32"/>
        </w:rPr>
        <w:t>本项目海宁市生态保护红线位置关系示意图</w:t>
      </w:r>
    </w:p>
    <w:p>
      <w:pPr>
        <w:pStyle w:val="2"/>
        <w:jc w:val="center"/>
        <w:rPr>
          <w:highlight w:val="yellow"/>
        </w:rPr>
      </w:pPr>
      <w:r>
        <w:rPr>
          <w:sz w:val="24"/>
        </w:rPr>
        <mc:AlternateContent>
          <mc:Choice Requires="wps">
            <w:drawing>
              <wp:anchor distT="0" distB="0" distL="114300" distR="114300" simplePos="0" relativeHeight="251680768" behindDoc="0" locked="0" layoutInCell="1" allowOverlap="1">
                <wp:simplePos x="0" y="0"/>
                <wp:positionH relativeFrom="column">
                  <wp:posOffset>3691255</wp:posOffset>
                </wp:positionH>
                <wp:positionV relativeFrom="paragraph">
                  <wp:posOffset>3766185</wp:posOffset>
                </wp:positionV>
                <wp:extent cx="786765" cy="301625"/>
                <wp:effectExtent l="19050" t="287020" r="13335" b="20955"/>
                <wp:wrapNone/>
                <wp:docPr id="2041059203" name="圆角矩形标注 4"/>
                <wp:cNvGraphicFramePr/>
                <a:graphic xmlns:a="http://schemas.openxmlformats.org/drawingml/2006/main">
                  <a:graphicData uri="http://schemas.microsoft.com/office/word/2010/wordprocessingShape">
                    <wps:wsp>
                      <wps:cNvSpPr/>
                      <wps:spPr>
                        <a:xfrm>
                          <a:off x="0" y="0"/>
                          <a:ext cx="786765" cy="301625"/>
                        </a:xfrm>
                        <a:prstGeom prst="wedgeRoundRectCallout">
                          <a:avLst>
                            <a:gd name="adj1" fmla="val -50080"/>
                            <a:gd name="adj2" fmla="val -137578"/>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rPr>
                            </w:pPr>
                            <w:r>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4" o:spid="_x0000_s1026" o:spt="62" type="#_x0000_t62" style="position:absolute;left:0pt;margin-left:290.65pt;margin-top:296.55pt;height:23.75pt;width:61.95pt;z-index:251680768;v-text-anchor:middle;mso-width-relative:page;mso-height-relative:page;" filled="f" stroked="t" coordsize="21600,21600" o:gfxdata="UEsDBAoAAAAAAIdO4kAAAAAAAAAAAAAAAAAEAAAAZHJzL1BLAwQUAAAACACHTuJAcLB8INsAAAAL&#10;AQAADwAAAGRycy9kb3ducmV2LnhtbE2PwU7DMAyG70i8Q2QkbizJxsooTSdUMU5IEwPENW1CU2ic&#10;0mTd4OkxJ7jZ8qff31+sj75nkx1jF1CBnAlgFptgOmwVPD9tLlbAYtJodB/QKviyEdbl6UmhcxMO&#10;+GinXWoZhWDMtQKX0pBzHhtnvY6zMFik21sYvU60ji03oz5QuO/5XIiMe90hfXB6sJWzzcdu7xXc&#10;193d7csmyin7dtV7tTWvnw9GqfMzKW6AJXtMfzD86pM6lORUhz2ayHoFy5VcEErD9UICI+JKLOfA&#10;agXZpciAlwX/36H8AVBLAwQUAAAACACHTuJAlhlfHrECAAAlBQAADgAAAGRycy9lMm9Eb2MueG1s&#10;rVTNbhMxEL4j8Q6W7+3+NNmkUTdVlCoIqaJVC+LseL0/yH/YTjblAeidMxKIC3DmzOO08BiMvZs2&#10;BU6IHJyZnfHMfN/M+Oh4IzhaM2MbJXOc7McYMUlV0cgqxy+eL/bGGFlHZEG4kizHV8zi4+njR0et&#10;nrBU1YoXzCAIIu2k1TmundOTKLK0ZoLYfaWZBGOpjCAOVFNFhSEtRBc8SuM4i1plCm0UZdbC15PO&#10;iKchflky6s7K0jKHeI6hNhdOE86lP6PpEZlUhui6oX0Z5B+qEKSRkPQu1AlxBK1M80co0VCjrCrd&#10;PlUiUmXZUBYwAJok/g3NZU00C1iAHKvvaLL/Lyx9tj43qClynMaDJB4epvEBRpII6NXN+7c/P7/7&#10;8eHrzfdPtx+vb799QQNPWKvtBO5d6nPTaxZEj35TGuH/ARfaBJKv7khmG4cofByNs1E2xIiC6SBO&#10;snToY0b3l7Wx7glTAnkhxy0rKnahVrK4gG7OCedq5QLXZH1qXSC96CsmxasEo1Jw6OGacLQ3jOPx&#10;tsk7TukDp+RgNByN+1HY8QIi7kMlWZaN+kr7xFDztlZfhVSLhvMwUFyiFrYhHcUwc5TAXJecOBCF&#10;BqatrDAivIKFoc4EKFbxpvDXfSBrquWcGwQIcrxYxPDrEz9w87lPiK07v2DqMIjGwU7xRuR47C9v&#10;b3MJPPvmde3yktssN30Pl6q4glEwqtsRq+migQynxLpzYoBQgAKL7s7gKLkCfKqXMKqVefO3794f&#10;ZhWsGLWwZID99YoYhhF/KmGKD5PBwG9lUAbDUQqK2bUsdy1yJeYKKIEWQ3VB9P6Ob8XSKPES3oOZ&#10;zwomIink7ljulbnrlh9eFMpms+AGm6iJO5WXmvrgXS9nK6fKxvnR9ER17PQK7GKY2P7d8Mu+qwev&#10;+9dt+g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BwsHwg2wAAAAsBAAAPAAAAAAAAAAEAIAAAACIA&#10;AABkcnMvZG93bnJldi54bWxQSwECFAAUAAAACACHTuJAlhlfHrECAAAlBQAADgAAAAAAAAABACAA&#10;AAAqAQAAZHJzL2Uyb0RvYy54bWxQSwUGAAAAAAYABgBZAQAATQYAAAAA&#10;" adj="-17,-18917,14400">
                <v:fill on="f" focussize="0,0"/>
                <v:stroke weight="1pt" color="#FF0000 [3204]" miterlimit="8" joinstyle="miter"/>
                <v:imagedata o:title=""/>
                <o:lock v:ext="edit" aspectratio="f"/>
                <v:textbox>
                  <w:txbxContent>
                    <w:p>
                      <w:pPr>
                        <w:jc w:val="center"/>
                        <w:rPr>
                          <w:b/>
                          <w:bCs/>
                          <w:color w:val="FF0000"/>
                        </w:rPr>
                      </w:pPr>
                      <w:r>
                        <w:rPr>
                          <w:rFonts w:hint="eastAsia"/>
                          <w:b/>
                          <w:bCs/>
                          <w:color w:val="FF0000"/>
                        </w:rPr>
                        <w:t>项目位置</w:t>
                      </w:r>
                    </w:p>
                  </w:txbxContent>
                </v:textbox>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3618865</wp:posOffset>
                </wp:positionH>
                <wp:positionV relativeFrom="paragraph">
                  <wp:posOffset>3444875</wp:posOffset>
                </wp:positionV>
                <wp:extent cx="75565" cy="79375"/>
                <wp:effectExtent l="17780" t="22225" r="20955" b="31750"/>
                <wp:wrapNone/>
                <wp:docPr id="957464225" name="五角星 5"/>
                <wp:cNvGraphicFramePr/>
                <a:graphic xmlns:a="http://schemas.openxmlformats.org/drawingml/2006/main">
                  <a:graphicData uri="http://schemas.microsoft.com/office/word/2010/wordprocessingShape">
                    <wps:wsp>
                      <wps:cNvSpPr/>
                      <wps:spPr>
                        <a:xfrm>
                          <a:off x="0" y="0"/>
                          <a:ext cx="75565" cy="7937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5" o:spid="_x0000_s1026" style="position:absolute;left:0pt;margin-left:284.95pt;margin-top:271.25pt;height:6.25pt;width:5.95pt;z-index:251681792;v-text-anchor:middle;mso-width-relative:page;mso-height-relative:page;" fillcolor="#FF0000" filled="t" stroked="t" coordsize="75565,79375" o:gfxdata="UEsDBAoAAAAAAIdO4kAAAAAAAAAAAAAAAAAEAAAAZHJzL1BLAwQUAAAACACHTuJAoiwMQtkAAAAL&#10;AQAADwAAAGRycy9kb3ducmV2LnhtbE2PMU/DMBCFdyT+g3VIbNROVUdtGqdDJQbEgAgs3dzYxCnx&#10;OcROWvj1HBPd3tN9evdeubv4ns12jF1ABdlCALPYBNNhq+D97fFhDSwmjUb3Aa2CbxthV93elLow&#10;4Yyvdq5TyygEY6EVuJSGgvPYOOt1XITBIt0+wuh1Iju23Iz6TOG+50shcu51h/TB6cHunW0+68kr&#10;eDr8OP48Tbjanw68Fn4ev/IXpe7vMrEFluwl/cPwV5+qQ0WdjmFCE1mvQOabDaEkVksJjAi5zmjM&#10;kYSUAnhV8usN1S9QSwMEFAAAAAgAh07iQKIO6ZBeAgAArwQAAA4AAABkcnMvZTJvRG9jLnhtbK1U&#10;zW4TMRC+I/EOlu90k5Bt2qibKmoVhFTRSgVxdrzerCX/YTvZlMdAHLhx5B14HoR4DD5706QFDgiR&#10;gzPjGc/PN9/s2flWK7IRPkhrKjo8GlAiDLe1NKuKvnm9eHZCSYjM1ExZIyp6JwI9nz19cta5qRjZ&#10;1qpaeIIgJkw7V9E2RjctisBboVk4sk4YGBvrNYtQ/aqoPesQXatiNBgcF531tfOWixBwe9kb6SzH&#10;bxrB43XTBBGJqihqi/n0+Vyms5idsenKM9dKviuD/UMVmkmDpPtQlywysvbyt1Bacm+DbeIRt7qw&#10;TSO5yD2gm+Hgl25uW+ZE7gXgBLeHKfy/sPzV5sYTWVf0tJyMj8ejUUmJYRqj+vb1448vH75/+kzK&#10;BFPnwhTet+7G77QAMfW8bbxO/+iGbDO0d3toxTYSjstJWR4jModlcvp8kiMWh6fOh/hCWE2SUFEw&#10;xpcZT7a5ChH54Hvvk1IFq2S9kEplxa+WF8qTDcOQF4sBfqlgPHnkpgzpQNHRBGbCGcjWKBYhaof2&#10;g1lRwtQKLObR59yPXoe/S5KKvGSh7YvJEXqOaRlBdCV1RU9ShfclKoNKE7Y9mkla2voOQ/G2Z2tw&#10;fCER9oqFeMM86In6sXLxGkejLJqyO4mS1vr3f7pP/mANrJR0oDsafrdmXlCiXhrw6XQ4Hqf9yMq4&#10;nIyg+IeW5UOLWesLC7CHWG7Hs5j8o7oXG2/1W2zmPGWFiRmO3D20O+Ui9muI3eZiPs9u2AnH4pW5&#10;dTwFT8M1dr6OtpGZBAd0dqBhK/Kgdxuc1u6hnr0O35nZ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IsDELZAAAACwEAAA8AAAAAAAAAAQAgAAAAIgAAAGRycy9kb3ducmV2LnhtbFBLAQIUABQAAAAI&#10;AIdO4kCiDumQXgIAAK8EAAAOAAAAAAAAAAEAIAAAACgBAABkcnMvZTJvRG9jLnhtbFBLBQYAAAAA&#10;BgAGAFkBAAD4BQAAAAA=&#10;" path="m0,30318l28863,30318,37782,0,46701,30318,75564,30318,52213,49056,61133,79374,37782,60636,14431,79374,23351,49056xe">
                <v:path o:connectlocs="37782,0;0,30318;14431,79374;61133,79374;75564,30318" o:connectangles="247,164,82,82,0"/>
                <v:fill on="t" focussize="0,0"/>
                <v:stroke weight="1pt" color="#FF0000 [3204]" miterlimit="8" joinstyle="miter"/>
                <v:imagedata o:title=""/>
                <o:lock v:ext="edit" aspectratio="f"/>
              </v:shape>
            </w:pict>
          </mc:Fallback>
        </mc:AlternateContent>
      </w:r>
      <w:r>
        <w:drawing>
          <wp:inline distT="0" distB="0" distL="114300" distR="114300">
            <wp:extent cx="9479280" cy="5219700"/>
            <wp:effectExtent l="0" t="0" r="7620" b="0"/>
            <wp:docPr id="45905301" name="图片 45905301" descr="海宁全域图全市大图20171009最终定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5301" name="图片 45905301" descr="海宁全域图全市大图20171009最终定稿"/>
                    <pic:cNvPicPr>
                      <a:picLocks noChangeAspect="1"/>
                    </pic:cNvPicPr>
                  </pic:nvPicPr>
                  <pic:blipFill>
                    <a:blip r:embed="rId36"/>
                    <a:stretch>
                      <a:fillRect/>
                    </a:stretch>
                  </pic:blipFill>
                  <pic:spPr>
                    <a:xfrm>
                      <a:off x="0" y="0"/>
                      <a:ext cx="9479297" cy="5220000"/>
                    </a:xfrm>
                    <a:prstGeom prst="rect">
                      <a:avLst/>
                    </a:prstGeom>
                    <a:noFill/>
                    <a:ln>
                      <a:noFill/>
                    </a:ln>
                  </pic:spPr>
                </pic:pic>
              </a:graphicData>
            </a:graphic>
          </wp:inline>
        </w:drawing>
      </w:r>
    </w:p>
    <w:p>
      <w:pPr>
        <w:keepLines/>
        <w:spacing w:line="360" w:lineRule="auto"/>
        <w:outlineLvl w:val="1"/>
        <w:rPr>
          <w:rFonts w:eastAsia="黑体" w:cs="Times New Roman"/>
          <w:bCs/>
          <w:szCs w:val="32"/>
        </w:rPr>
      </w:pPr>
      <w:r>
        <w:rPr>
          <w:rFonts w:hint="eastAsia" w:eastAsia="黑体" w:cs="Times New Roman"/>
          <w:bCs/>
          <w:szCs w:val="32"/>
        </w:rPr>
        <w:t>附图</w:t>
      </w:r>
      <w:r>
        <w:rPr>
          <w:rFonts w:eastAsia="黑体" w:cs="Times New Roman"/>
          <w:bCs/>
          <w:szCs w:val="32"/>
        </w:rPr>
        <w:t>6</w:t>
      </w:r>
      <w:r>
        <w:rPr>
          <w:rFonts w:hint="eastAsia" w:eastAsia="黑体" w:cs="Times New Roman"/>
          <w:bCs/>
          <w:szCs w:val="32"/>
        </w:rPr>
        <w:t>本项目输电线路路径图</w:t>
      </w:r>
    </w:p>
    <w:p>
      <w:pPr>
        <w:pStyle w:val="2"/>
        <w:jc w:val="center"/>
        <w:rPr>
          <w:highlight w:val="yellow"/>
        </w:rPr>
      </w:pPr>
      <w:r>
        <w:rPr>
          <w:highlight w:val="yellow"/>
        </w:rPr>
        <w:drawing>
          <wp:inline distT="0" distB="0" distL="0" distR="0">
            <wp:extent cx="7303135" cy="5219700"/>
            <wp:effectExtent l="0" t="0" r="0" b="0"/>
            <wp:docPr id="206344498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44985" name="图片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7303739" cy="5220000"/>
                    </a:xfrm>
                    <a:prstGeom prst="rect">
                      <a:avLst/>
                    </a:prstGeom>
                    <a:noFill/>
                    <a:ln>
                      <a:noFill/>
                    </a:ln>
                  </pic:spPr>
                </pic:pic>
              </a:graphicData>
            </a:graphic>
          </wp:inline>
        </w:drawing>
      </w:r>
    </w:p>
    <w:p>
      <w:pPr>
        <w:keepLines/>
        <w:spacing w:line="360" w:lineRule="auto"/>
        <w:outlineLvl w:val="1"/>
        <w:rPr>
          <w:rFonts w:eastAsia="黑体" w:cs="Times New Roman"/>
          <w:bCs/>
          <w:szCs w:val="32"/>
        </w:rPr>
      </w:pPr>
      <w:r>
        <w:rPr>
          <w:rFonts w:hint="eastAsia" w:eastAsia="黑体" w:cs="Times New Roman"/>
          <w:bCs/>
          <w:szCs w:val="32"/>
        </w:rPr>
        <w:t>附图</w:t>
      </w:r>
      <w:r>
        <w:rPr>
          <w:rFonts w:eastAsia="黑体" w:cs="Times New Roman"/>
          <w:bCs/>
          <w:szCs w:val="32"/>
        </w:rPr>
        <w:t>7</w:t>
      </w:r>
      <w:r>
        <w:rPr>
          <w:rFonts w:hint="eastAsia" w:eastAsia="黑体" w:cs="Times New Roman"/>
          <w:bCs/>
          <w:szCs w:val="32"/>
        </w:rPr>
        <w:t>本项目杆塔一览图</w:t>
      </w:r>
    </w:p>
    <w:p>
      <w:pPr>
        <w:pStyle w:val="2"/>
        <w:jc w:val="center"/>
        <w:rPr>
          <w:highlight w:val="yellow"/>
        </w:rPr>
      </w:pPr>
      <w:r>
        <w:rPr>
          <w:highlight w:val="yellow"/>
        </w:rPr>
        <w:drawing>
          <wp:inline distT="0" distB="0" distL="0" distR="0">
            <wp:extent cx="7281545" cy="5219700"/>
            <wp:effectExtent l="0" t="0" r="0" b="0"/>
            <wp:docPr id="15490155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15526" name="图片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7281860" cy="5220000"/>
                    </a:xfrm>
                    <a:prstGeom prst="rect">
                      <a:avLst/>
                    </a:prstGeom>
                    <a:noFill/>
                    <a:ln>
                      <a:noFill/>
                    </a:ln>
                  </pic:spPr>
                </pic:pic>
              </a:graphicData>
            </a:graphic>
          </wp:inline>
        </w:drawing>
      </w:r>
    </w:p>
    <w:p>
      <w:pPr>
        <w:keepLines/>
        <w:spacing w:line="360" w:lineRule="auto"/>
        <w:outlineLvl w:val="1"/>
        <w:rPr>
          <w:rFonts w:eastAsia="黑体" w:cs="Times New Roman"/>
          <w:bCs/>
          <w:szCs w:val="32"/>
        </w:rPr>
      </w:pPr>
      <w:r>
        <w:rPr>
          <w:rFonts w:hint="eastAsia" w:eastAsia="黑体" w:cs="Times New Roman"/>
          <w:bCs/>
          <w:szCs w:val="32"/>
        </w:rPr>
        <w:t>附图</w:t>
      </w:r>
      <w:r>
        <w:rPr>
          <w:rFonts w:eastAsia="黑体" w:cs="Times New Roman"/>
          <w:bCs/>
          <w:szCs w:val="32"/>
        </w:rPr>
        <w:t>8</w:t>
      </w:r>
      <w:r>
        <w:rPr>
          <w:rFonts w:hint="eastAsia" w:eastAsia="黑体" w:cs="Times New Roman"/>
          <w:bCs/>
          <w:szCs w:val="32"/>
        </w:rPr>
        <w:t>本项目与环境保护目标位置关系及监测点位示意图</w:t>
      </w:r>
    </w:p>
    <w:p>
      <w:pPr>
        <w:pStyle w:val="2"/>
        <w:jc w:val="center"/>
        <w:rPr>
          <w:highlight w:val="yellow"/>
        </w:rPr>
      </w:pPr>
      <w:r>
        <w:rPr>
          <w:highlight w:val="yellow"/>
        </w:rPr>
        <w:drawing>
          <wp:inline distT="0" distB="0" distL="0" distR="0">
            <wp:extent cx="6483350" cy="5219700"/>
            <wp:effectExtent l="0" t="0" r="0" b="0"/>
            <wp:docPr id="680217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1758" name="图片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6483656" cy="5220000"/>
                    </a:xfrm>
                    <a:prstGeom prst="rect">
                      <a:avLst/>
                    </a:prstGeom>
                    <a:noFill/>
                    <a:ln>
                      <a:noFill/>
                    </a:ln>
                  </pic:spPr>
                </pic:pic>
              </a:graphicData>
            </a:graphic>
          </wp:inline>
        </w:drawing>
      </w:r>
    </w:p>
    <w:p>
      <w:pPr>
        <w:keepNext/>
        <w:spacing w:line="0" w:lineRule="atLeast"/>
        <w:outlineLvl w:val="0"/>
        <w:rPr>
          <w:rFonts w:eastAsia="黑体" w:cs="Times New Roman"/>
          <w:bCs/>
          <w:sz w:val="28"/>
          <w:szCs w:val="28"/>
        </w:rPr>
        <w:sectPr>
          <w:pgSz w:w="16838" w:h="11906" w:orient="landscape"/>
          <w:pgMar w:top="1418" w:right="1418" w:bottom="1418" w:left="1418" w:header="851" w:footer="992" w:gutter="0"/>
          <w:cols w:space="425" w:num="1"/>
          <w:docGrid w:type="lines" w:linePitch="312" w:charSpace="0"/>
        </w:sectPr>
      </w:pPr>
    </w:p>
    <w:p>
      <w:pPr>
        <w:keepLines/>
        <w:spacing w:line="360" w:lineRule="auto"/>
        <w:outlineLvl w:val="1"/>
        <w:rPr>
          <w:rFonts w:eastAsia="黑体" w:cs="Times New Roman"/>
          <w:bCs/>
          <w:szCs w:val="32"/>
        </w:rPr>
      </w:pPr>
      <w:r>
        <w:rPr>
          <w:rFonts w:hint="eastAsia" w:eastAsia="黑体" w:cs="Times New Roman"/>
          <w:bCs/>
          <w:szCs w:val="32"/>
        </w:rPr>
        <w:t>附图</w:t>
      </w:r>
      <w:r>
        <w:rPr>
          <w:rFonts w:eastAsia="黑体" w:cs="Times New Roman"/>
          <w:bCs/>
          <w:szCs w:val="32"/>
        </w:rPr>
        <w:t>9</w:t>
      </w:r>
      <w:bookmarkStart w:id="71" w:name="_Hlk141691617"/>
      <w:r>
        <w:rPr>
          <w:rFonts w:hint="eastAsia" w:eastAsia="黑体" w:cs="Times New Roman"/>
          <w:bCs/>
          <w:szCs w:val="32"/>
        </w:rPr>
        <w:t>本工程沿线土地利用现状图</w:t>
      </w:r>
      <w:bookmarkEnd w:id="71"/>
    </w:p>
    <w:p>
      <w:pPr>
        <w:keepNext/>
        <w:spacing w:line="0" w:lineRule="atLeast"/>
        <w:jc w:val="center"/>
        <w:rPr>
          <w:rFonts w:eastAsia="黑体" w:cs="Times New Roman"/>
          <w:bCs/>
          <w:sz w:val="28"/>
          <w:szCs w:val="28"/>
        </w:rPr>
      </w:pPr>
      <w:r>
        <w:rPr>
          <w:sz w:val="24"/>
        </w:rPr>
        <mc:AlternateContent>
          <mc:Choice Requires="wps">
            <w:drawing>
              <wp:anchor distT="0" distB="0" distL="114300" distR="114300" simplePos="0" relativeHeight="251688960" behindDoc="0" locked="0" layoutInCell="1" allowOverlap="1">
                <wp:simplePos x="0" y="0"/>
                <wp:positionH relativeFrom="column">
                  <wp:posOffset>3446780</wp:posOffset>
                </wp:positionH>
                <wp:positionV relativeFrom="paragraph">
                  <wp:posOffset>5741670</wp:posOffset>
                </wp:positionV>
                <wp:extent cx="786765" cy="301625"/>
                <wp:effectExtent l="19050" t="287020" r="13335" b="20955"/>
                <wp:wrapNone/>
                <wp:docPr id="1243770854" name="圆角矩形标注 4"/>
                <wp:cNvGraphicFramePr/>
                <a:graphic xmlns:a="http://schemas.openxmlformats.org/drawingml/2006/main">
                  <a:graphicData uri="http://schemas.microsoft.com/office/word/2010/wordprocessingShape">
                    <wps:wsp>
                      <wps:cNvSpPr/>
                      <wps:spPr>
                        <a:xfrm>
                          <a:off x="0" y="0"/>
                          <a:ext cx="786765" cy="301625"/>
                        </a:xfrm>
                        <a:prstGeom prst="wedgeRoundRectCallout">
                          <a:avLst>
                            <a:gd name="adj1" fmla="val -50080"/>
                            <a:gd name="adj2" fmla="val -137578"/>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4" o:spid="_x0000_s1026" o:spt="62" type="#_x0000_t62" style="position:absolute;left:0pt;margin-left:271.4pt;margin-top:452.1pt;height:23.75pt;width:61.95pt;z-index:251688960;v-text-anchor:middle;mso-width-relative:page;mso-height-relative:page;" filled="f" stroked="t" coordsize="21600,21600" o:gfxdata="UEsDBAoAAAAAAIdO4kAAAAAAAAAAAAAAAAAEAAAAZHJzL1BLAwQUAAAACACHTuJAy76p9toAAAAL&#10;AQAADwAAAGRycy9kb3ducmV2LnhtbE2PwU7DMBBE70j8g7VI3KidqHUhxKlQRDkhIQqIqxMvcSC2&#10;Q+ymha9nOcFxZ0czb8rN0Q1sxin2wSvIFgIY+jaY3ncKnp+2F5fAYtLe6CF4VPCFETbV6UmpCxMO&#10;/hHnXeoYhfhYaAU2pbHgPLYWnY6LMKKn31uYnE50Th03kz5QuBt4LoTkTveeGqwesbbYfuz2TsFd&#10;09/evGxjNstvW7/XD+b1894odX6WiWtgCY/pzwy/+IQOFTE1Ye9NZIOC1TIn9KTgSixzYOSQUq6B&#10;NaSssjXwquT/N1Q/UEsDBBQAAAAIAIdO4kCT2SKkrwIAACUFAAAOAAAAZHJzL2Uyb0RvYy54bWyt&#10;VM1uEzEQviPxDpbv7e7mZzdE3VRRqiCkilYtiLPj9f4g/2E72ZQHgDtnJBAX4MyZx2nhMRh7N20K&#10;nBA5ODM745n5vpnx0fFWcLRhxjZK5jg5jDFikqqikVWOnz9bHkwwso7IgnAlWY6vmMXHs4cPjlo9&#10;ZQNVK14wgyCItNNW57h2Tk+jyNKaCWIPlWYSjKUygjhQTRUVhrQQXfBoEMdp1CpTaKMosxa+nnRG&#10;PAvxy5JRd1aWljnEcwy1uXCacK78Gc2OyLQyRNcN7csg/1CFII2EpLehTogjaG2aP0KJhhplVekO&#10;qRKRKsuGsoAB0CTxb2gua6JZwALkWH1Lk/1/YenTzblBTQG9G4yGWRZPxiOMJBHQq+v3b35+fvfj&#10;w9fr759uPr69+fYFjTxhrbZTuHepz02vWRA9+m1phP8HXGgbSL66JZltHaLwMZukWTrGiIJpGCfp&#10;YOxjRneXtbHuMVMCeSHHLSsqdqHWsriAbi4I52rtAtdkc2pdIL3oKybFywSjUnDo4YZwdDCO48mu&#10;yXtOg3tOyTAbZ5N+FPa8hvteSZqmWV9pnxhq3tXqq5Bq2XAeBopL1HpGsxhmjhKY65ITB6LQwLSV&#10;FUaEV7Aw1JkAxSreFP66D2RNtVpwgwBBjpfLGH594ntuPvcJsXXnF0wdBtE42CneiBxP/OXdbS6B&#10;Z9+8rl1ectvVtu/hShVXMApGdTtiNV02kOGUWHdODBAKUGDR3RkcJVeAT/USRrUyr//23fvDrIIV&#10;oxaWDLC/WhPDMOJPJEzxo2Q08lsZlNE4G4Bi9i2rfYtci4UCSqDFUF0Qvb/jO7E0SryA92Dus4KJ&#10;SAq5O5Z7ZeG65YcXhbL5PLjBJmriTuWlpj5418v52qmycX40PVEdO70Cuxgmtn83/LLv68Hr7nWb&#10;/Q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DLvqn22gAAAAsBAAAPAAAAAAAAAAEAIAAAACIAAABk&#10;cnMvZG93bnJldi54bWxQSwECFAAUAAAACACHTuJAk9kipK8CAAAlBQAADgAAAAAAAAABACAAAAAp&#10;AQAAZHJzL2Uyb0RvYy54bWxQSwUGAAAAAAYABgBZAQAASgYAAAAA&#10;" adj="-17,-18917,14400">
                <v:fill on="f" focussize="0,0"/>
                <v:stroke weight="1pt" color="#FF0000 [3204]" miterlimit="8" joinstyle="miter"/>
                <v:imagedata o:title=""/>
                <o:lock v:ext="edit" aspectratio="f"/>
                <v:textbox>
                  <w:txbxContent>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项目位置</w:t>
                      </w:r>
                    </w:p>
                  </w:txbxContent>
                </v:textbox>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3387725</wp:posOffset>
                </wp:positionH>
                <wp:positionV relativeFrom="paragraph">
                  <wp:posOffset>5396230</wp:posOffset>
                </wp:positionV>
                <wp:extent cx="75565" cy="79375"/>
                <wp:effectExtent l="19050" t="38100" r="38735" b="34925"/>
                <wp:wrapNone/>
                <wp:docPr id="2047775108" name="五角星 5"/>
                <wp:cNvGraphicFramePr/>
                <a:graphic xmlns:a="http://schemas.openxmlformats.org/drawingml/2006/main">
                  <a:graphicData uri="http://schemas.microsoft.com/office/word/2010/wordprocessingShape">
                    <wps:wsp>
                      <wps:cNvSpPr/>
                      <wps:spPr>
                        <a:xfrm>
                          <a:off x="0" y="0"/>
                          <a:ext cx="75565" cy="79375"/>
                        </a:xfrm>
                        <a:prstGeom prst="star5">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5" o:spid="_x0000_s1026" style="position:absolute;left:0pt;margin-left:266.75pt;margin-top:424.9pt;height:6.25pt;width:5.95pt;z-index:251689984;v-text-anchor:middle;mso-width-relative:page;mso-height-relative:page;" fillcolor="#000000 [3213]" filled="t" stroked="t" coordsize="75565,79375" o:gfxdata="UEsDBAoAAAAAAIdO4kAAAAAAAAAAAAAAAAAEAAAAZHJzL1BLAwQUAAAACACHTuJA4qs+WtkAAAAL&#10;AQAADwAAAGRycy9kb3ducmV2LnhtbE2Py07DMBBF90j8gzVI7KjT5qES4nQBAqpuCoUPcO0hCcTj&#10;ELuP/D3DCpYzc3Tn3Gp1dr044hg6TwrmswQEkvG2o0bB+9vjzRJEiJqs7j2hggkDrOrLi0qX1p/o&#10;FY+72AgOoVBqBW2MQyllMC06HWZ+QOLbhx+djjyOjbSjPnG46+UiSQrpdEf8odUD3rdovnYHp0AW&#10;0+f6qd9Oz8ZMa7QPm5dvuVHq+mqe3IGIeI5/MPzqszrU7LT3B7JB9AryNM0ZVbDMbrkDE3mWZyD2&#10;vCkWKci6kv871D9QSwMEFAAAAAgAh07iQMKxv9hbAgAAsAQAAA4AAABkcnMvZTJvRG9jLnhtbK1U&#10;zW4TMRC+I/EOlu90NyHbbaNuqihVEVJFKxXE2fHaWUv+Y+xkUx4DceDGkXfgeRDiMRh70yYFDgiR&#10;gzPjGc/PN9/s2fnWaLIREJSzDR0dlZQIy12r7Kqhb15fPjuhJERmW6adFQ29E4Gez54+Oev9VIxd&#10;53QrgGAQG6a9b2gXo58WReCdMCwcOS8sGqUDwyKqsCpaYD1GN7oYl+Vx0TtoPTguQsDbi8FIZzm+&#10;lILHaymDiEQ3FGuL+YR8LtNZzM7YdAXMd4rvymD/UIVhymLSh1AXLDKyBvVbKKM4uOBkPOLOFE5K&#10;xUXuAbsZlb90c9sxL3IvCE7wDzCF/xeWv9rcAFFtQ8flpK7ralTixCwzOKtvXz/++PLh+6fPpEo4&#10;9T5M0f3W38BOCyimprcSTPrHdsg2Y3v3gK3YRsLxsq6q44oSjpb69HmdIxb7px5CfCGcIUloKFIG&#10;qgwo21yFiPnQ994npQpOq/ZSaZ0VWC0XGsiGpSnnXyoYnzxy05b0yNFxXSITOEO2Sc0iisZj/8Gu&#10;KGF6hTTmEXLuR6/D3yVJRV6w0A3F5AgDyYyKyHStTENPDkvUFitN2A5oJmnp2jucCriBrsHzS4Vh&#10;r1iINwyQn1g/7ly8xkNqh025nURJ5+D9n+6TP9IGrZT0yHds+N2agaBEv7RIqNPRZJIWJCuTqh6j&#10;AoeW5aHFrs3CIdgj3G7Ps5j8o74XJTjzFldznrKiiVmOuQdod8oiDnuIy83FfJ7dcCk8i1f21vMU&#10;PA3Xuvk6OqkyCfbo7EDDtciD3q1w2rtDPXvtPzSz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Kr&#10;PlrZAAAACwEAAA8AAAAAAAAAAQAgAAAAIgAAAGRycy9kb3ducmV2LnhtbFBLAQIUABQAAAAIAIdO&#10;4kDCsb/YWwIAALAEAAAOAAAAAAAAAAEAIAAAACgBAABkcnMvZTJvRG9jLnhtbFBLBQYAAAAABgAG&#10;AFkBAAD1BQAAAAA=&#10;" path="m0,30318l28863,30318,37782,0,46701,30318,75564,30318,52213,49056,61133,79374,37782,60636,14431,79374,23351,49056xe">
                <v:path o:connectlocs="37782,0;0,30318;14431,79374;61133,79374;75564,30318" o:connectangles="247,164,82,82,0"/>
                <v:fill on="t" focussize="0,0"/>
                <v:stroke weight="1pt" color="#000000 [3213]" miterlimit="8" joinstyle="miter"/>
                <v:imagedata o:title=""/>
                <o:lock v:ext="edit" aspectratio="f"/>
              </v:shape>
            </w:pict>
          </mc:Fallback>
        </mc:AlternateContent>
      </w:r>
      <w:r>
        <w:rPr>
          <w:rFonts w:eastAsia="黑体" w:cs="Times New Roman"/>
          <w:bCs/>
          <w:sz w:val="28"/>
          <w:szCs w:val="28"/>
        </w:rPr>
        <w:drawing>
          <wp:inline distT="0" distB="0" distL="0" distR="0">
            <wp:extent cx="5753100" cy="8401050"/>
            <wp:effectExtent l="0" t="0" r="0" b="0"/>
            <wp:docPr id="13153820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82050" name="图片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753100" cy="8401050"/>
                    </a:xfrm>
                    <a:prstGeom prst="rect">
                      <a:avLst/>
                    </a:prstGeom>
                    <a:noFill/>
                    <a:ln>
                      <a:noFill/>
                    </a:ln>
                  </pic:spPr>
                </pic:pic>
              </a:graphicData>
            </a:graphic>
          </wp:inline>
        </w:drawing>
      </w:r>
    </w:p>
    <w:p>
      <w:pPr>
        <w:keepNext/>
        <w:spacing w:line="0" w:lineRule="atLeast"/>
        <w:jc w:val="center"/>
        <w:rPr>
          <w:rFonts w:eastAsia="黑体" w:cs="Times New Roman"/>
          <w:bCs/>
          <w:sz w:val="28"/>
          <w:szCs w:val="28"/>
        </w:rPr>
        <w:sectPr>
          <w:pgSz w:w="11906" w:h="16838"/>
          <w:pgMar w:top="1418" w:right="1418" w:bottom="1418" w:left="1418" w:header="851" w:footer="992" w:gutter="0"/>
          <w:cols w:space="425" w:num="1"/>
          <w:docGrid w:type="lines" w:linePitch="312" w:charSpace="0"/>
        </w:sectPr>
      </w:pPr>
    </w:p>
    <w:p>
      <w:pPr>
        <w:keepNext/>
        <w:spacing w:line="0" w:lineRule="atLeast"/>
        <w:outlineLvl w:val="0"/>
        <w:rPr>
          <w:rFonts w:eastAsia="黑体" w:cs="Times New Roman"/>
          <w:bCs/>
          <w:sz w:val="28"/>
          <w:szCs w:val="28"/>
        </w:rPr>
      </w:pPr>
      <w:r>
        <w:rPr>
          <w:rFonts w:eastAsia="黑体" w:cs="Times New Roman"/>
          <w:bCs/>
          <w:sz w:val="28"/>
          <w:szCs w:val="28"/>
        </w:rPr>
        <w:t>附件：</w:t>
      </w:r>
    </w:p>
    <w:p>
      <w:pPr>
        <w:keepLines/>
        <w:spacing w:line="360" w:lineRule="auto"/>
        <w:outlineLvl w:val="1"/>
        <w:rPr>
          <w:rFonts w:eastAsia="黑体" w:cs="Times New Roman"/>
          <w:bCs/>
          <w:szCs w:val="32"/>
        </w:rPr>
      </w:pPr>
      <w:r>
        <w:rPr>
          <w:rFonts w:hint="eastAsia" w:eastAsia="黑体" w:cs="Times New Roman"/>
          <w:bCs/>
          <w:szCs w:val="32"/>
        </w:rPr>
        <w:t>附件1  机场高铁项目初设批复文件 浙发改项字〔2022〕384 号</w:t>
      </w:r>
    </w:p>
    <w:p>
      <w:pPr>
        <w:pStyle w:val="2"/>
        <w:jc w:val="center"/>
        <w:rPr>
          <w:highlight w:val="yellow"/>
        </w:rPr>
      </w:pPr>
      <w:r>
        <w:drawing>
          <wp:inline distT="0" distB="0" distL="0" distR="0">
            <wp:extent cx="5759450" cy="7007225"/>
            <wp:effectExtent l="0" t="0" r="0" b="3175"/>
            <wp:docPr id="6349007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0711" name="图片 1"/>
                    <pic:cNvPicPr>
                      <a:picLocks noChangeAspect="1"/>
                    </pic:cNvPicPr>
                  </pic:nvPicPr>
                  <pic:blipFill>
                    <a:blip r:embed="rId41"/>
                    <a:stretch>
                      <a:fillRect/>
                    </a:stretch>
                  </pic:blipFill>
                  <pic:spPr>
                    <a:xfrm>
                      <a:off x="0" y="0"/>
                      <a:ext cx="5759450" cy="7007225"/>
                    </a:xfrm>
                    <a:prstGeom prst="rect">
                      <a:avLst/>
                    </a:prstGeom>
                  </pic:spPr>
                </pic:pic>
              </a:graphicData>
            </a:graphic>
          </wp:inline>
        </w:drawing>
      </w:r>
    </w:p>
    <w:p>
      <w:pPr>
        <w:pStyle w:val="2"/>
        <w:jc w:val="center"/>
        <w:rPr>
          <w:highlight w:val="yellow"/>
        </w:rPr>
      </w:pPr>
      <w:r>
        <w:drawing>
          <wp:inline distT="0" distB="0" distL="0" distR="0">
            <wp:extent cx="5759450" cy="7188835"/>
            <wp:effectExtent l="0" t="0" r="0" b="0"/>
            <wp:docPr id="1270390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90871" name="图片 1"/>
                    <pic:cNvPicPr>
                      <a:picLocks noChangeAspect="1"/>
                    </pic:cNvPicPr>
                  </pic:nvPicPr>
                  <pic:blipFill>
                    <a:blip r:embed="rId42"/>
                    <a:stretch>
                      <a:fillRect/>
                    </a:stretch>
                  </pic:blipFill>
                  <pic:spPr>
                    <a:xfrm>
                      <a:off x="0" y="0"/>
                      <a:ext cx="5759450" cy="7188835"/>
                    </a:xfrm>
                    <a:prstGeom prst="rect">
                      <a:avLst/>
                    </a:prstGeom>
                  </pic:spPr>
                </pic:pic>
              </a:graphicData>
            </a:graphic>
          </wp:inline>
        </w:drawing>
      </w:r>
    </w:p>
    <w:p>
      <w:pPr>
        <w:pStyle w:val="2"/>
        <w:jc w:val="center"/>
        <w:rPr>
          <w:highlight w:val="yellow"/>
        </w:rPr>
      </w:pPr>
    </w:p>
    <w:p>
      <w:pPr>
        <w:pStyle w:val="2"/>
        <w:jc w:val="center"/>
        <w:rPr>
          <w:highlight w:val="yellow"/>
        </w:rPr>
      </w:pPr>
      <w:r>
        <w:drawing>
          <wp:inline distT="0" distB="0" distL="0" distR="0">
            <wp:extent cx="5759450" cy="6948805"/>
            <wp:effectExtent l="0" t="0" r="0" b="4445"/>
            <wp:docPr id="14195946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94698" name="图片 1"/>
                    <pic:cNvPicPr>
                      <a:picLocks noChangeAspect="1"/>
                    </pic:cNvPicPr>
                  </pic:nvPicPr>
                  <pic:blipFill>
                    <a:blip r:embed="rId43"/>
                    <a:stretch>
                      <a:fillRect/>
                    </a:stretch>
                  </pic:blipFill>
                  <pic:spPr>
                    <a:xfrm>
                      <a:off x="0" y="0"/>
                      <a:ext cx="5759450" cy="6948805"/>
                    </a:xfrm>
                    <a:prstGeom prst="rect">
                      <a:avLst/>
                    </a:prstGeom>
                  </pic:spPr>
                </pic:pic>
              </a:graphicData>
            </a:graphic>
          </wp:inline>
        </w:drawing>
      </w:r>
    </w:p>
    <w:p>
      <w:pPr>
        <w:pStyle w:val="2"/>
        <w:rPr>
          <w:highlight w:val="yellow"/>
        </w:rPr>
      </w:pPr>
    </w:p>
    <w:p>
      <w:pPr>
        <w:keepLines/>
        <w:spacing w:line="360" w:lineRule="auto"/>
        <w:outlineLvl w:val="1"/>
        <w:rPr>
          <w:rFonts w:eastAsia="黑体" w:cs="Times New Roman"/>
          <w:bCs/>
          <w:szCs w:val="32"/>
        </w:rPr>
        <w:sectPr>
          <w:pgSz w:w="11906" w:h="16838"/>
          <w:pgMar w:top="1418" w:right="1418" w:bottom="1418" w:left="1418" w:header="851" w:footer="992" w:gutter="0"/>
          <w:cols w:space="425" w:num="1"/>
          <w:docGrid w:type="lines" w:linePitch="312" w:charSpace="0"/>
        </w:sectPr>
      </w:pPr>
    </w:p>
    <w:p>
      <w:pPr>
        <w:keepLines/>
        <w:spacing w:line="360" w:lineRule="auto"/>
        <w:outlineLvl w:val="1"/>
        <w:rPr>
          <w:rFonts w:eastAsia="黑体" w:cs="Times New Roman"/>
          <w:bCs/>
          <w:szCs w:val="32"/>
        </w:rPr>
      </w:pPr>
      <w:r>
        <w:rPr>
          <w:rFonts w:hint="eastAsia" w:eastAsia="黑体" w:cs="Times New Roman"/>
          <w:bCs/>
          <w:szCs w:val="32"/>
        </w:rPr>
        <w:t>附件2  海宁市政府关于对杭州机场高铁工程涉及110千伏及以上输电线路进行迁改等有限事宜的函</w:t>
      </w:r>
    </w:p>
    <w:p>
      <w:pPr>
        <w:pStyle w:val="2"/>
        <w:jc w:val="center"/>
        <w:rPr>
          <w:highlight w:val="yellow"/>
        </w:rPr>
      </w:pPr>
      <w:r>
        <w:rPr>
          <w:rFonts w:hint="eastAsia"/>
        </w:rPr>
        <w:drawing>
          <wp:inline distT="0" distB="0" distL="0" distR="0">
            <wp:extent cx="5400040" cy="6590665"/>
            <wp:effectExtent l="0" t="0" r="0" b="635"/>
            <wp:docPr id="2059131728" name="图片 1" descr="01.嘉电运检线第[2023]01-01号-杭州机场高铁工程涉及输电线路改迁工程技术联系单011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31728" name="图片 1" descr="01.嘉电运检线第[2023]01-01号-杭州机场高铁工程涉及输电线路改迁工程技术联系单0111_0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400040" cy="6590665"/>
                    </a:xfrm>
                    <a:prstGeom prst="rect">
                      <a:avLst/>
                    </a:prstGeom>
                    <a:noFill/>
                    <a:ln>
                      <a:noFill/>
                    </a:ln>
                  </pic:spPr>
                </pic:pic>
              </a:graphicData>
            </a:graphic>
          </wp:inline>
        </w:drawing>
      </w:r>
    </w:p>
    <w:p>
      <w:pPr>
        <w:pStyle w:val="2"/>
        <w:jc w:val="center"/>
        <w:rPr>
          <w:highlight w:val="yellow"/>
        </w:rPr>
      </w:pPr>
      <w:r>
        <w:rPr>
          <w:sz w:val="21"/>
        </w:rPr>
        <mc:AlternateContent>
          <mc:Choice Requires="wps">
            <w:drawing>
              <wp:anchor distT="0" distB="0" distL="114300" distR="114300" simplePos="0" relativeHeight="251691008" behindDoc="0" locked="0" layoutInCell="1" allowOverlap="1">
                <wp:simplePos x="0" y="0"/>
                <wp:positionH relativeFrom="column">
                  <wp:posOffset>1169035</wp:posOffset>
                </wp:positionH>
                <wp:positionV relativeFrom="paragraph">
                  <wp:posOffset>4328795</wp:posOffset>
                </wp:positionV>
                <wp:extent cx="3707130" cy="476250"/>
                <wp:effectExtent l="4445" t="4445" r="22225" b="14605"/>
                <wp:wrapNone/>
                <wp:docPr id="3" name="文本框 3"/>
                <wp:cNvGraphicFramePr/>
                <a:graphic xmlns:a="http://schemas.openxmlformats.org/drawingml/2006/main">
                  <a:graphicData uri="http://schemas.microsoft.com/office/word/2010/wordprocessingShape">
                    <wps:wsp>
                      <wps:cNvSpPr txBox="1"/>
                      <wps:spPr>
                        <a:xfrm>
                          <a:off x="2069465" y="5229225"/>
                          <a:ext cx="3707130" cy="4762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05pt;margin-top:340.85pt;height:37.5pt;width:291.9pt;z-index:251691008;mso-width-relative:page;mso-height-relative:page;" fillcolor="#FFFFFF [3201]" filled="t" stroked="t" coordsize="21600,21600" o:gfxdata="UEsDBAoAAAAAAIdO4kAAAAAAAAAAAAAAAAAEAAAAZHJzL1BLAwQUAAAACACHTuJAFYn0RNcAAAAL&#10;AQAADwAAAGRycy9kb3ducmV2LnhtbE2PwU7DMAyG70i8Q2QkbiztBmkpTSeBhIS4sfXCLWu8tiJx&#10;qiZbx9tjTnDzL3/6/bneXrwTZ5zjGEhDvspAIHXBjtRraPevdyWImAxZ4wKhhm+MsG2ur2pT2bDQ&#10;B553qRdcQrEyGoaUpkrK2A3oTVyFCYl3xzB7kzjOvbSzWbjcO7nOMiW9GYkvDGbClwG7r93Ja3hT&#10;z+kTW/tuN+tNWFrZzUcXtb69ybMnEAkv6Q+GX31Wh4adDuFENgrHubzPGdWgyrwAwUShikcQBx4e&#10;VAGyqeX/H5ofUEsDBBQAAAAIAIdO4kB+c9AWSgIAAHUEAAAOAAAAZHJzL2Uyb0RvYy54bWytVN2u&#10;EjEQvjfxHZrey8LyJ4TlBDnBmBDPSdB43e122Y3dTm0Lu/gA+gZeeeO9z8VzOO0CB8UrIxdlpvPx&#10;TeebGWZ3TSXJXhhbgkpor9OlRCgOWam2CX3/bvXiJSXWMZUxCUok9CAsvZs/fzar9VTEUIDMhCFI&#10;ouy01gktnNPTKLK8EBWzHdBCYTAHUzGHrtlGmWE1slcyirvdUVSDybQBLqzF2/s2SOeBP88Fdw95&#10;boUjMqH4NhdOE87Un9F8xqZbw3RR8tMz2D+8omKlwqQXqnvmGNmZ8oaqKrkBC7nrcKgiyPOSi1AD&#10;VtPr/lHNpmBahFpQHKsvMtn/R8vf7h8NKbOE9ilRrMIWHb99PX7/efzxhfS9PLW2U0RtNOJc8woa&#10;bPP53uKlr7rJTeW/sR6C8bg7mgxGQ0oOCR3G8SSOh63QonGEI6A/7o57fewHR8RgPIqHoRPRE5M2&#10;1r0WUBFvJNRgI4O+bL+2Dl+F0DPEJ7Ygy2xVShkcs02X0pA9w6avwsenx5/8BpOK1Akd9TH3DYXn&#10;vlCkkvGPtwzIJxXSeoFaIbzlmrQ5qZZCdkDRDLRTZzVflci7ZtY9MoNjhgLg6rgHPHIJ+Bg4WZQU&#10;YD7/7d7jsfsYpaTGsU2o/bRjRlAi3yici0lvMPBzHpzBcByjY64j6XVE7aoloEg9XFLNg+nxTp7N&#10;3ED1ATds4bNiiCmOuRPqzubStcuEG8rFYhFAONmaubXaaO6pvbgKFjsHeRla52VqtTmph7Md2nPa&#10;Q788135APf1bzH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Yn0RNcAAAALAQAADwAAAAAAAAAB&#10;ACAAAAAiAAAAZHJzL2Rvd25yZXYueG1sUEsBAhQAFAAAAAgAh07iQH5z0BZKAgAAdQQAAA4AAAAA&#10;AAAAAQAgAAAAJgEAAGRycy9lMm9Eb2MueG1sUEsFBgAAAAAGAAYAWQEAAOIFAAAAAA==&#10;">
                <v:fill on="t" focussize="0,0"/>
                <v:stroke weight="0.5pt" color="#000000 [3204]" joinstyle="round"/>
                <v:imagedata o:title=""/>
                <o:lock v:ext="edit" aspectratio="f"/>
                <v:textbox>
                  <w:txbxContent>
                    <w:p/>
                  </w:txbxContent>
                </v:textbox>
              </v:shape>
            </w:pict>
          </mc:Fallback>
        </mc:AlternateContent>
      </w:r>
      <w:r>
        <w:rPr>
          <w:rFonts w:hint="eastAsia"/>
        </w:rPr>
        <w:drawing>
          <wp:inline distT="0" distB="0" distL="0" distR="0">
            <wp:extent cx="5400040" cy="7634605"/>
            <wp:effectExtent l="0" t="0" r="0" b="4445"/>
            <wp:docPr id="916473470" name="图片 2" descr="01.嘉电运检线第[2023]01-01号-杭州机场高铁工程涉及输电线路改迁工程技术联系单011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73470" name="图片 2" descr="01.嘉电运检线第[2023]01-01号-杭州机场高铁工程涉及输电线路改迁工程技术联系单0111_0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400040" cy="7634605"/>
                    </a:xfrm>
                    <a:prstGeom prst="rect">
                      <a:avLst/>
                    </a:prstGeom>
                    <a:noFill/>
                    <a:ln>
                      <a:noFill/>
                    </a:ln>
                  </pic:spPr>
                </pic:pic>
              </a:graphicData>
            </a:graphic>
          </wp:inline>
        </w:drawing>
      </w:r>
    </w:p>
    <w:p>
      <w:pPr>
        <w:pStyle w:val="2"/>
        <w:rPr>
          <w:highlight w:val="yellow"/>
        </w:rPr>
      </w:pPr>
    </w:p>
    <w:p>
      <w:pPr>
        <w:keepLines/>
        <w:spacing w:line="360" w:lineRule="auto"/>
        <w:outlineLvl w:val="1"/>
        <w:rPr>
          <w:rFonts w:eastAsia="黑体" w:cs="Times New Roman"/>
          <w:bCs/>
          <w:szCs w:val="32"/>
        </w:rPr>
        <w:sectPr>
          <w:pgSz w:w="11906" w:h="16838"/>
          <w:pgMar w:top="1418" w:right="1418" w:bottom="1418" w:left="1418" w:header="851" w:footer="992" w:gutter="0"/>
          <w:cols w:space="425" w:num="1"/>
          <w:docGrid w:type="lines" w:linePitch="312" w:charSpace="0"/>
        </w:sectPr>
      </w:pPr>
    </w:p>
    <w:p>
      <w:pPr>
        <w:keepLines/>
        <w:spacing w:line="360" w:lineRule="auto"/>
        <w:outlineLvl w:val="1"/>
        <w:rPr>
          <w:rFonts w:eastAsia="黑体" w:cs="Times New Roman"/>
          <w:bCs/>
          <w:szCs w:val="32"/>
        </w:rPr>
      </w:pPr>
      <w:r>
        <w:rPr>
          <w:rFonts w:hint="eastAsia" w:eastAsia="黑体" w:cs="Times New Roman"/>
          <w:bCs/>
          <w:szCs w:val="32"/>
        </w:rPr>
        <w:t>附件3  市政改签工程会签单</w:t>
      </w:r>
    </w:p>
    <w:p>
      <w:pPr>
        <w:pStyle w:val="2"/>
        <w:jc w:val="center"/>
        <w:rPr>
          <w:highlight w:val="yellow"/>
        </w:rPr>
      </w:pPr>
      <w:r>
        <w:rPr>
          <w:sz w:val="21"/>
        </w:rPr>
        <mc:AlternateContent>
          <mc:Choice Requires="wps">
            <w:drawing>
              <wp:anchor distT="0" distB="0" distL="114300" distR="114300" simplePos="0" relativeHeight="251692032" behindDoc="0" locked="0" layoutInCell="1" allowOverlap="1">
                <wp:simplePos x="0" y="0"/>
                <wp:positionH relativeFrom="column">
                  <wp:posOffset>2185035</wp:posOffset>
                </wp:positionH>
                <wp:positionV relativeFrom="paragraph">
                  <wp:posOffset>2106295</wp:posOffset>
                </wp:positionV>
                <wp:extent cx="3215005" cy="4603750"/>
                <wp:effectExtent l="4445" t="4445" r="19050" b="20955"/>
                <wp:wrapNone/>
                <wp:docPr id="6" name="文本框 6"/>
                <wp:cNvGraphicFramePr/>
                <a:graphic xmlns:a="http://schemas.openxmlformats.org/drawingml/2006/main">
                  <a:graphicData uri="http://schemas.microsoft.com/office/word/2010/wordprocessingShape">
                    <wps:wsp>
                      <wps:cNvSpPr txBox="1"/>
                      <wps:spPr>
                        <a:xfrm>
                          <a:off x="3085465" y="3303905"/>
                          <a:ext cx="3215005" cy="4603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05pt;margin-top:165.85pt;height:362.5pt;width:253.15pt;z-index:251692032;mso-width-relative:page;mso-height-relative:page;" fillcolor="#FFFFFF [3201]" filled="t" stroked="t" coordsize="21600,21600" o:gfxdata="UEsDBAoAAAAAAIdO4kAAAAAAAAAAAAAAAAAEAAAAZHJzL1BLAwQUAAAACACHTuJAi5yfbNgAAAAM&#10;AQAADwAAAGRycy9kb3ducmV2LnhtbE2PwU7DMAyG70i8Q2Qkbizp2nVTaToJJCTEjdELt6zx2orG&#10;qZJsHW+POcHNlj/9/v56f3WTuGCIoycN2UqBQOq8HanX0H68POxAxGTImskTavjGCPvm9qY2lfUL&#10;vePlkHrBIRQro2FIaa6kjN2AzsSVn5H4dvLBmcRr6KUNZuFwN8m1UqV0ZiT+MJgZnwfsvg5np+G1&#10;fEqf2No3m69zv7SyC6cpan1/l6lHEAmv6Q+GX31Wh4adjv5MNopJQ14UGaM85NkWBBO7jSpAHBlV&#10;m3ILsqnl/xLND1BLAwQUAAAACACHTuJA9IVD8kkCAAB2BAAADgAAAGRycy9lMm9Eb2MueG1srVTN&#10;jtMwEL4j8Q6W7zTpT7q7VdNV6aoIacWuVBBnx3GaCMdjbLdJeQD2DThx4c5z9TkYO223UE6IHtwZ&#10;z9dvPN/MdHrb1pJshbEVqJT2ezElQnHIK7VO6Yf3y1fXlFjHVM4kKJHSnbD0dvbyxbTREzGAEmQu&#10;DEESZSeNTmnpnJ5EkeWlqJntgRYKgwWYmjl0zTrKDWuQvZbRII7HUQMm1wa4sBZv77ognQX+ohDc&#10;PRSFFY7IlOLbXDhNODN/RrMpm6wN02XFD89g//CKmlUKk56o7phjZGOqC6q64gYsFK7HoY6gKCou&#10;Qg1YTT/+o5pVybQItaA4Vp9ksv+Plr/bPhpS5SkdU6JYjS3af3vaf/+5//GVjL08jbYTRK004lz7&#10;Glps8/He4qWvui1M7b+xHoLxYXydjMYJJTu0h/HwJk46oUXrCPeAQT+J8ZJwRIzG8fAqCa2Inqm0&#10;se6NgJp4I6UGOxkEZtt76/BZCD1CfGYLssqXlZTBMetsIQ3ZMuz6Mnx8fvzJbzCpSIN1DzH3BYXn&#10;PlFkkvFPlwzIJxXSeoU6Jbzl2qw9yJZBvkPVDHRjZzVfVsh7z6x7ZAbnDCcSd8c94FFIwMfAwaKk&#10;BPPlb/cej+3HKCUNzm1K7ecNM4IS+VbhYNz0RyM/6MEZJVcDdMx5JDuPqE29ABSpj1uqeTA93smj&#10;WRioP+KKzX1WDDHFMXdK3dFcuG6bcEW5mM8DCEdbM3evVpp7ai+ugvnGQVGF1nmZOm0O6uFwh/Yc&#10;FtFvz7kfUM9/F7N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i5yfbNgAAAAMAQAADwAAAAAAAAAB&#10;ACAAAAAiAAAAZHJzL2Rvd25yZXYueG1sUEsBAhQAFAAAAAgAh07iQPSFQ/JJAgAAdgQAAA4AAAAA&#10;AAAAAQAgAAAAJwEAAGRycy9lMm9Eb2MueG1sUEsFBgAAAAAGAAYAWQEAAOIFAAAAAA==&#10;">
                <v:fill on="t" focussize="0,0"/>
                <v:stroke weight="0.5pt" color="#000000 [3204]" joinstyle="round"/>
                <v:imagedata o:title=""/>
                <o:lock v:ext="edit" aspectratio="f"/>
                <v:textbox>
                  <w:txbxContent>
                    <w:p/>
                  </w:txbxContent>
                </v:textbox>
              </v:shape>
            </w:pict>
          </mc:Fallback>
        </mc:AlternateContent>
      </w:r>
      <w:r>
        <w:rPr>
          <w:rFonts w:hint="eastAsia"/>
        </w:rPr>
        <w:drawing>
          <wp:inline distT="0" distB="0" distL="0" distR="0">
            <wp:extent cx="5400040" cy="7634605"/>
            <wp:effectExtent l="0" t="0" r="0" b="4445"/>
            <wp:docPr id="1239094832" name="图片 3" descr="01.嘉电运检线第[2023]01-01号-杭州机场高铁工程涉及输电线路改迁工程技术联系单01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94832" name="图片 3" descr="01.嘉电运检线第[2023]01-01号-杭州机场高铁工程涉及输电线路改迁工程技术联系单0111_0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400040" cy="7634605"/>
                    </a:xfrm>
                    <a:prstGeom prst="rect">
                      <a:avLst/>
                    </a:prstGeom>
                    <a:noFill/>
                    <a:ln>
                      <a:noFill/>
                    </a:ln>
                  </pic:spPr>
                </pic:pic>
              </a:graphicData>
            </a:graphic>
          </wp:inline>
        </w:drawing>
      </w:r>
    </w:p>
    <w:p>
      <w:pPr>
        <w:keepLines/>
        <w:spacing w:line="360" w:lineRule="auto"/>
        <w:outlineLvl w:val="1"/>
        <w:rPr>
          <w:rFonts w:eastAsia="黑体" w:cs="Times New Roman"/>
          <w:bCs/>
          <w:szCs w:val="32"/>
        </w:rPr>
        <w:sectPr>
          <w:pgSz w:w="11906" w:h="16838"/>
          <w:pgMar w:top="1418" w:right="1418" w:bottom="1418" w:left="1418" w:header="851" w:footer="992" w:gutter="0"/>
          <w:cols w:space="425" w:num="1"/>
          <w:docGrid w:type="lines" w:linePitch="312" w:charSpace="0"/>
        </w:sectPr>
      </w:pPr>
    </w:p>
    <w:p>
      <w:pPr>
        <w:keepLines/>
        <w:spacing w:line="360" w:lineRule="auto"/>
        <w:outlineLvl w:val="1"/>
        <w:rPr>
          <w:rFonts w:eastAsia="黑体" w:cs="Times New Roman"/>
          <w:bCs/>
          <w:szCs w:val="32"/>
        </w:rPr>
      </w:pPr>
      <w:r>
        <w:rPr>
          <w:rFonts w:hint="eastAsia" w:eastAsia="黑体" w:cs="Times New Roman"/>
          <w:bCs/>
          <w:szCs w:val="32"/>
        </w:rPr>
        <w:t>附件4  检测报告</w:t>
      </w:r>
    </w:p>
    <w:p>
      <w:pPr>
        <w:pStyle w:val="2"/>
        <w:jc w:val="center"/>
        <w:rPr>
          <w:highlight w:val="yellow"/>
        </w:rPr>
      </w:pPr>
      <w:r>
        <w:rPr>
          <w:highlight w:val="yellow"/>
        </w:rPr>
        <w:drawing>
          <wp:inline distT="0" distB="0" distL="0" distR="0">
            <wp:extent cx="5753735" cy="8134985"/>
            <wp:effectExtent l="0" t="0" r="0" b="0"/>
            <wp:docPr id="5611747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74757" name="图片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20299784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78471" name="图片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1513246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246149" name="图片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10801040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04009" name="图片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1000114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450" name="图片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18349833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983367" name="图片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18033905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390538" name="图片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79357379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73799" name="图片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19065598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59860" name="图片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7786794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79464" name="图片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r>
        <w:rPr>
          <w:highlight w:val="yellow"/>
        </w:rPr>
        <w:drawing>
          <wp:inline distT="0" distB="0" distL="0" distR="0">
            <wp:extent cx="5753735" cy="8134985"/>
            <wp:effectExtent l="0" t="0" r="0" b="0"/>
            <wp:docPr id="130733545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35452" name="图片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p>
    <w:p>
      <w:pPr>
        <w:pStyle w:val="2"/>
        <w:rPr>
          <w:highlight w:val="yellow"/>
        </w:rPr>
      </w:pPr>
    </w:p>
    <w:p>
      <w:pPr>
        <w:pStyle w:val="2"/>
        <w:rPr>
          <w:highlight w:val="yellow"/>
        </w:rPr>
      </w:pPr>
    </w:p>
    <w:p>
      <w:pPr>
        <w:keepLines/>
        <w:spacing w:line="360" w:lineRule="auto"/>
        <w:outlineLvl w:val="1"/>
        <w:rPr>
          <w:rFonts w:eastAsia="黑体" w:cs="Times New Roman"/>
          <w:bCs/>
          <w:szCs w:val="32"/>
        </w:rPr>
      </w:pPr>
      <w:bookmarkStart w:id="72" w:name="_Hlk142399589"/>
      <w:r>
        <w:rPr>
          <w:rFonts w:hint="eastAsia" w:eastAsia="黑体" w:cs="Times New Roman"/>
          <w:bCs/>
          <w:szCs w:val="32"/>
        </w:rPr>
        <w:t>附件</w:t>
      </w:r>
      <w:r>
        <w:rPr>
          <w:rFonts w:eastAsia="黑体" w:cs="Times New Roman"/>
          <w:bCs/>
          <w:szCs w:val="32"/>
        </w:rPr>
        <w:t>5</w:t>
      </w:r>
      <w:r>
        <w:rPr>
          <w:rFonts w:hint="eastAsia" w:eastAsia="黑体" w:cs="Times New Roman"/>
          <w:bCs/>
          <w:szCs w:val="32"/>
        </w:rPr>
        <w:t xml:space="preserve">  工程路径符合规划的说明</w:t>
      </w:r>
    </w:p>
    <w:p>
      <w:pPr>
        <w:pStyle w:val="2"/>
        <w:jc w:val="center"/>
        <w:rPr>
          <w:highlight w:val="yellow"/>
        </w:rPr>
      </w:pPr>
      <w:r>
        <w:rPr>
          <w:highlight w:val="yellow"/>
        </w:rPr>
        <w:drawing>
          <wp:inline distT="0" distB="0" distL="0" distR="0">
            <wp:extent cx="5753735" cy="8126095"/>
            <wp:effectExtent l="0" t="0" r="0" b="8255"/>
            <wp:docPr id="2938668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6893" name="图片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highlight w:val="yellow"/>
        </w:rPr>
        <w:drawing>
          <wp:inline distT="0" distB="0" distL="0" distR="0">
            <wp:extent cx="5753735" cy="8126095"/>
            <wp:effectExtent l="0" t="0" r="0" b="8255"/>
            <wp:docPr id="15708398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39801" name="图片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sz w:val="21"/>
        </w:rPr>
        <mc:AlternateContent>
          <mc:Choice Requires="wps">
            <w:drawing>
              <wp:anchor distT="0" distB="0" distL="114300" distR="114300" simplePos="0" relativeHeight="251693056" behindDoc="0" locked="0" layoutInCell="1" allowOverlap="1">
                <wp:simplePos x="0" y="0"/>
                <wp:positionH relativeFrom="column">
                  <wp:posOffset>2383790</wp:posOffset>
                </wp:positionH>
                <wp:positionV relativeFrom="paragraph">
                  <wp:posOffset>708660</wp:posOffset>
                </wp:positionV>
                <wp:extent cx="3055620" cy="5182870"/>
                <wp:effectExtent l="4445" t="4445" r="6985" b="13335"/>
                <wp:wrapNone/>
                <wp:docPr id="10" name="文本框 10"/>
                <wp:cNvGraphicFramePr/>
                <a:graphic xmlns:a="http://schemas.openxmlformats.org/drawingml/2006/main">
                  <a:graphicData uri="http://schemas.microsoft.com/office/word/2010/wordprocessingShape">
                    <wps:wsp>
                      <wps:cNvSpPr txBox="1"/>
                      <wps:spPr>
                        <a:xfrm>
                          <a:off x="3284220" y="1609090"/>
                          <a:ext cx="3055620" cy="51828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7.7pt;margin-top:55.8pt;height:408.1pt;width:240.6pt;z-index:251693056;mso-width-relative:page;mso-height-relative:page;" fillcolor="#FFFFFF [3201]" filled="t" stroked="t" coordsize="21600,21600" o:gfxdata="UEsDBAoAAAAAAIdO4kAAAAAAAAAAAAAAAAAEAAAAZHJzL1BLAwQUAAAACACHTuJAPhuD7dgAAAAL&#10;AQAADwAAAGRycy9kb3ducmV2LnhtbE2PTU/DMAyG70j8h8iTuLH0g3WlNJ0EEhLixuiFW9Z4bbXE&#10;qZpsHf8ec4KbrffR68f17uqsuOAcRk8K0nUCAqnzZqReQfv5el+CCFGT0dYTKvjGALvm9qbWlfEL&#10;feBlH3vBJRQqrWCIcaqkDN2AToe1n5A4O/rZ6cjr3Esz64XLnZVZkhTS6ZH4wqAnfBmwO+3PTsFb&#10;8Ry/sDXvJs9yv7Sym482KHW3SpMnEBGv8Q+GX31Wh4adDv5MJgirIN9uHhjlIE0LEEyUm4KHg4LH&#10;bFuCbGr5/4fmB1BLAwQUAAAACACHTuJA0Syb80kCAAB4BAAADgAAAGRycy9lMm9Eb2MueG1srVTN&#10;bhMxEL4j8Q6W73Q3aZKmUTdVaBWEVNFKAXF2vN5khddjbCe75QHgDThx4c5z9Tn47CT9oZwQu5Iz&#10;9nz5xvPNzJ6dd41mW+V8TabgvaOcM2UklbVZFfzD+/mrMWc+CFMKTUYV/FZ5fj59+eKstRPVpzXp&#10;UjkGEuMnrS34OgQ7yTIv16oR/oisMnBW5BoRsHWrrHSiBXujs36ej7KWXGkdSeU9Ti93Tj5N/FWl&#10;ZLiuKq8C0wXH3UJaXVqXcc2mZ2KycsKua7m/hviHWzSiNgh6T3UpgmAbVz+jamrpyFMVjiQ1GVVV&#10;LVXKAdn08j+yWayFVSkXiOPtvUz+/9HKd9sbx+oStYM8RjSo0d33b3c/ft39/MpwBoFa6yfALSyQ&#10;oXtNHcCHc4/DmHdXuSb+IiMG/3F/POj3wXgL7Cg/xbuTWnWByQjIh8NRBEgghr1xf3ySENkDlXU+&#10;vFHUsGgU3KGWSWKxvfIB1wL0AImRPem6nNdap41bLS+0Y1uBus/TE+PjL09g2rC24KPjYZ6Yn/gi&#10;9z3FUgv56TkD+LQBbVRop0S0Qrfs9rItqbyFao52jeetnNfgvRI+3AiHToMCmJ5wjaXShMvQ3uJs&#10;Te7L384jHg0AL2ctOrfg/vNGOMWZfmvQGqe9wQC0IW0Gw5OosnvsWT72mE1zQRCphzm1MpkRH/TB&#10;rBw1HzFksxgVLmEkYhc8HMyLsJsnDKlUs1kCobmtCFdmYWWkjiUxNNsEqupUuijTTpu9emjvVJ79&#10;KMb5ebxPqIcPxvQ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huD7dgAAAALAQAADwAAAAAAAAAB&#10;ACAAAAAiAAAAZHJzL2Rvd25yZXYueG1sUEsBAhQAFAAAAAgAh07iQNEsm/NJAgAAeAQAAA4AAAAA&#10;AAAAAQAgAAAAJwEAAGRycy9lMm9Eb2MueG1sUEsFBgAAAAAGAAYAWQEAAOIFAAAAAA==&#10;">
                <v:fill on="t" focussize="0,0"/>
                <v:stroke weight="0.5pt" color="#000000 [3204]" joinstyle="round"/>
                <v:imagedata o:title=""/>
                <o:lock v:ext="edit" aspectratio="f"/>
                <v:textbox>
                  <w:txbxContent>
                    <w:p/>
                  </w:txbxContent>
                </v:textbox>
              </v:shape>
            </w:pict>
          </mc:Fallback>
        </mc:AlternateContent>
      </w:r>
      <w:r>
        <w:rPr>
          <w:highlight w:val="yellow"/>
        </w:rPr>
        <w:drawing>
          <wp:inline distT="0" distB="0" distL="0" distR="0">
            <wp:extent cx="5753735" cy="8126095"/>
            <wp:effectExtent l="0" t="0" r="0" b="8255"/>
            <wp:docPr id="18686697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669725" name="图片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highlight w:val="yellow"/>
        </w:rPr>
        <w:drawing>
          <wp:inline distT="0" distB="0" distL="0" distR="0">
            <wp:extent cx="5753735" cy="8126095"/>
            <wp:effectExtent l="0" t="0" r="0" b="8255"/>
            <wp:docPr id="4510369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36911" name="图片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highlight w:val="yellow"/>
        </w:rPr>
        <w:drawing>
          <wp:inline distT="0" distB="0" distL="0" distR="0">
            <wp:extent cx="5753735" cy="8126095"/>
            <wp:effectExtent l="0" t="0" r="0" b="8255"/>
            <wp:docPr id="16736993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99398" name="图片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highlight w:val="yellow"/>
        </w:rPr>
        <w:drawing>
          <wp:inline distT="0" distB="0" distL="0" distR="0">
            <wp:extent cx="5753735" cy="8126095"/>
            <wp:effectExtent l="0" t="0" r="0" b="8255"/>
            <wp:docPr id="20621408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40859" name="图片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highlight w:val="yellow"/>
        </w:rPr>
        <w:drawing>
          <wp:inline distT="0" distB="0" distL="0" distR="0">
            <wp:extent cx="5753735" cy="8126095"/>
            <wp:effectExtent l="0" t="0" r="0" b="8255"/>
            <wp:docPr id="14442121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12193" name="图片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highlight w:val="yellow"/>
        </w:rPr>
        <w:drawing>
          <wp:inline distT="0" distB="0" distL="0" distR="0">
            <wp:extent cx="5753735" cy="8126095"/>
            <wp:effectExtent l="0" t="0" r="0" b="8255"/>
            <wp:docPr id="19491799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79983" name="图片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highlight w:val="yellow"/>
        </w:rPr>
        <w:drawing>
          <wp:inline distT="0" distB="0" distL="0" distR="0">
            <wp:extent cx="5753735" cy="8126095"/>
            <wp:effectExtent l="0" t="0" r="0" b="8255"/>
            <wp:docPr id="13230207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020721" name="图片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highlight w:val="yellow"/>
        </w:rPr>
        <w:drawing>
          <wp:inline distT="0" distB="0" distL="0" distR="0">
            <wp:extent cx="5753735" cy="8126095"/>
            <wp:effectExtent l="0" t="0" r="0" b="8255"/>
            <wp:docPr id="11960445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44516" name="图片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r>
        <w:rPr>
          <w:highlight w:val="yellow"/>
        </w:rPr>
        <w:drawing>
          <wp:inline distT="0" distB="0" distL="0" distR="0">
            <wp:extent cx="5753735" cy="8126095"/>
            <wp:effectExtent l="0" t="0" r="0" b="8255"/>
            <wp:docPr id="11804094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9441" name="图片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753735" cy="8126095"/>
                    </a:xfrm>
                    <a:prstGeom prst="rect">
                      <a:avLst/>
                    </a:prstGeom>
                    <a:noFill/>
                    <a:ln>
                      <a:noFill/>
                    </a:ln>
                  </pic:spPr>
                </pic:pic>
              </a:graphicData>
            </a:graphic>
          </wp:inline>
        </w:drawing>
      </w:r>
    </w:p>
    <w:p>
      <w:pPr>
        <w:keepLines/>
        <w:spacing w:line="360" w:lineRule="auto"/>
        <w:outlineLvl w:val="1"/>
        <w:rPr>
          <w:rFonts w:eastAsia="黑体" w:cs="Times New Roman"/>
          <w:bCs/>
          <w:szCs w:val="32"/>
        </w:rPr>
        <w:sectPr>
          <w:pgSz w:w="11906" w:h="16838"/>
          <w:pgMar w:top="1418" w:right="1418" w:bottom="1418" w:left="1418" w:header="851" w:footer="992" w:gutter="0"/>
          <w:cols w:space="425" w:num="1"/>
          <w:docGrid w:type="lines" w:linePitch="312" w:charSpace="0"/>
        </w:sectPr>
      </w:pPr>
    </w:p>
    <w:p>
      <w:pPr>
        <w:keepLines/>
        <w:spacing w:line="360" w:lineRule="auto"/>
        <w:outlineLvl w:val="1"/>
        <w:rPr>
          <w:rFonts w:eastAsia="黑体" w:cs="Times New Roman"/>
          <w:bCs/>
          <w:szCs w:val="32"/>
        </w:rPr>
      </w:pPr>
      <w:bookmarkStart w:id="73" w:name="_Hlk142400906"/>
      <w:r>
        <w:rPr>
          <w:rFonts w:hint="eastAsia" w:eastAsia="黑体" w:cs="Times New Roman"/>
          <w:bCs/>
          <w:szCs w:val="32"/>
        </w:rPr>
        <w:t>附件</w:t>
      </w:r>
      <w:r>
        <w:rPr>
          <w:rFonts w:eastAsia="黑体" w:cs="Times New Roman"/>
          <w:bCs/>
          <w:szCs w:val="32"/>
        </w:rPr>
        <w:t xml:space="preserve">6  </w:t>
      </w:r>
      <w:r>
        <w:rPr>
          <w:rFonts w:hint="eastAsia" w:eastAsia="黑体" w:cs="Times New Roman"/>
          <w:bCs/>
          <w:szCs w:val="32"/>
        </w:rPr>
        <w:t>杭州机场高铁工程征地拆迁包干协议（海宁段）</w:t>
      </w:r>
    </w:p>
    <w:p>
      <w:pPr>
        <w:spacing w:line="360" w:lineRule="auto"/>
        <w:contextualSpacing/>
        <w:jc w:val="center"/>
        <w:rPr>
          <w:rFonts w:cs="宋体"/>
          <w:szCs w:val="21"/>
        </w:rPr>
      </w:pPr>
    </w:p>
    <w:p>
      <w:pPr>
        <w:keepLines/>
        <w:spacing w:line="360" w:lineRule="auto"/>
        <w:outlineLvl w:val="1"/>
        <w:rPr>
          <w:rFonts w:eastAsia="黑体" w:cs="Times New Roman"/>
          <w:bCs/>
          <w:szCs w:val="32"/>
        </w:rPr>
        <w:sectPr>
          <w:pgSz w:w="11906" w:h="16838"/>
          <w:pgMar w:top="1418" w:right="1418" w:bottom="1418" w:left="1418" w:header="851" w:footer="992" w:gutter="0"/>
          <w:cols w:space="425" w:num="1"/>
          <w:docGrid w:type="lines" w:linePitch="312" w:charSpace="0"/>
        </w:sectPr>
      </w:pPr>
    </w:p>
    <w:bookmarkEnd w:id="73"/>
    <w:p>
      <w:pPr>
        <w:keepLines/>
        <w:spacing w:line="360" w:lineRule="auto"/>
        <w:outlineLvl w:val="1"/>
        <w:rPr>
          <w:rFonts w:eastAsia="黑体" w:cs="Times New Roman"/>
          <w:bCs/>
          <w:szCs w:val="32"/>
        </w:rPr>
      </w:pPr>
      <w:r>
        <w:rPr>
          <w:rFonts w:hint="eastAsia" w:eastAsia="黑体" w:cs="Times New Roman"/>
          <w:bCs/>
          <w:szCs w:val="32"/>
        </w:rPr>
        <w:t>附件</w:t>
      </w:r>
      <w:r>
        <w:rPr>
          <w:rFonts w:eastAsia="黑体" w:cs="Times New Roman"/>
          <w:bCs/>
          <w:szCs w:val="32"/>
        </w:rPr>
        <w:t>7</w:t>
      </w:r>
      <w:r>
        <w:rPr>
          <w:rFonts w:hint="eastAsia" w:eastAsia="黑体" w:cs="Times New Roman"/>
          <w:bCs/>
          <w:szCs w:val="32"/>
        </w:rPr>
        <w:t xml:space="preserve">  专家函审意见</w:t>
      </w:r>
    </w:p>
    <w:p>
      <w:pPr>
        <w:pStyle w:val="2"/>
        <w:jc w:val="center"/>
        <w:rPr>
          <w:highlight w:val="yellow"/>
        </w:rPr>
      </w:pPr>
      <w:r>
        <w:rPr>
          <w:highlight w:val="yellow"/>
        </w:rPr>
        <w:drawing>
          <wp:inline distT="0" distB="0" distL="0" distR="0">
            <wp:extent cx="5753735" cy="8134985"/>
            <wp:effectExtent l="0" t="0" r="0" b="0"/>
            <wp:docPr id="274344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4213" name="图片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753735" cy="8134985"/>
                    </a:xfrm>
                    <a:prstGeom prst="rect">
                      <a:avLst/>
                    </a:prstGeom>
                    <a:noFill/>
                    <a:ln>
                      <a:noFill/>
                    </a:ln>
                  </pic:spPr>
                </pic:pic>
              </a:graphicData>
            </a:graphic>
          </wp:inline>
        </w:drawing>
      </w:r>
    </w:p>
    <w:p>
      <w:pPr>
        <w:pStyle w:val="2"/>
        <w:jc w:val="center"/>
        <w:rPr>
          <w:highlight w:val="yellow"/>
        </w:rPr>
      </w:pPr>
      <w:r>
        <w:rPr>
          <w:highlight w:val="yellow"/>
        </w:rPr>
        <w:drawing>
          <wp:inline distT="0" distB="0" distL="0" distR="0">
            <wp:extent cx="5850255" cy="8279765"/>
            <wp:effectExtent l="0" t="0" r="0" b="6985"/>
            <wp:docPr id="9997764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6462" name="图片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850365" cy="8280000"/>
                    </a:xfrm>
                    <a:prstGeom prst="rect">
                      <a:avLst/>
                    </a:prstGeom>
                    <a:noFill/>
                    <a:ln>
                      <a:noFill/>
                    </a:ln>
                  </pic:spPr>
                </pic:pic>
              </a:graphicData>
            </a:graphic>
          </wp:inline>
        </w:drawing>
      </w:r>
    </w:p>
    <w:p>
      <w:pPr>
        <w:pStyle w:val="2"/>
        <w:jc w:val="center"/>
        <w:rPr>
          <w:highlight w:val="yellow"/>
        </w:rPr>
      </w:pPr>
      <w:r>
        <w:rPr>
          <w:highlight w:val="yellow"/>
        </w:rPr>
        <w:drawing>
          <wp:inline distT="0" distB="0" distL="0" distR="0">
            <wp:extent cx="6104255" cy="8639810"/>
            <wp:effectExtent l="0" t="0" r="0" b="8890"/>
            <wp:docPr id="13761370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37050" name="图片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6104729" cy="8640000"/>
                    </a:xfrm>
                    <a:prstGeom prst="rect">
                      <a:avLst/>
                    </a:prstGeom>
                    <a:noFill/>
                    <a:ln>
                      <a:noFill/>
                    </a:ln>
                  </pic:spPr>
                </pic:pic>
              </a:graphicData>
            </a:graphic>
          </wp:inline>
        </w:drawing>
      </w:r>
    </w:p>
    <w:p>
      <w:pPr>
        <w:keepLines/>
        <w:spacing w:line="360" w:lineRule="auto"/>
        <w:outlineLvl w:val="1"/>
        <w:rPr>
          <w:rFonts w:eastAsia="黑体" w:cs="Times New Roman"/>
          <w:bCs/>
          <w:szCs w:val="32"/>
        </w:rPr>
      </w:pPr>
      <w:r>
        <w:rPr>
          <w:rFonts w:hint="eastAsia" w:eastAsia="黑体" w:cs="Times New Roman"/>
          <w:bCs/>
          <w:szCs w:val="32"/>
        </w:rPr>
        <w:t>附件</w:t>
      </w:r>
      <w:r>
        <w:rPr>
          <w:rFonts w:eastAsia="黑体" w:cs="Times New Roman"/>
          <w:bCs/>
          <w:szCs w:val="32"/>
        </w:rPr>
        <w:t>8</w:t>
      </w:r>
      <w:r>
        <w:rPr>
          <w:rFonts w:hint="eastAsia" w:eastAsia="黑体" w:cs="Times New Roman"/>
          <w:bCs/>
          <w:szCs w:val="32"/>
        </w:rPr>
        <w:t xml:space="preserve">  专家函审意见对照修改清单</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567"/>
        <w:gridCol w:w="3402"/>
        <w:gridCol w:w="2835"/>
        <w:gridCol w:w="1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专家姓名</w:t>
            </w:r>
          </w:p>
        </w:tc>
        <w:tc>
          <w:tcPr>
            <w:tcW w:w="3969" w:type="dxa"/>
            <w:gridSpan w:val="2"/>
            <w:vAlign w:val="center"/>
          </w:tcPr>
          <w:p>
            <w:pPr>
              <w:pStyle w:val="2"/>
              <w:jc w:val="center"/>
              <w:rPr>
                <w:rFonts w:ascii="Times New Roman" w:hAnsi="Times New Roman" w:cs="Times New Roman"/>
                <w:szCs w:val="21"/>
              </w:rPr>
            </w:pPr>
            <w:r>
              <w:rPr>
                <w:rFonts w:hint="eastAsia" w:ascii="Times New Roman" w:hAnsi="Times New Roman" w:cs="Times New Roman"/>
                <w:szCs w:val="21"/>
              </w:rPr>
              <w:t>专家意见</w:t>
            </w:r>
          </w:p>
        </w:tc>
        <w:tc>
          <w:tcPr>
            <w:tcW w:w="2835"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修改情况</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对应页码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restart"/>
            <w:vAlign w:val="center"/>
          </w:tcPr>
          <w:p>
            <w:pPr>
              <w:pStyle w:val="2"/>
              <w:jc w:val="center"/>
              <w:rPr>
                <w:rFonts w:ascii="Times New Roman" w:hAnsi="Times New Roman" w:cs="Times New Roman"/>
                <w:szCs w:val="21"/>
              </w:rPr>
            </w:pPr>
            <w:r>
              <w:rPr>
                <w:rFonts w:hint="eastAsia" w:ascii="Times New Roman" w:hAnsi="Times New Roman" w:cs="Times New Roman"/>
                <w:szCs w:val="21"/>
              </w:rPr>
              <w:t>刘鸿诗</w:t>
            </w: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1</w:t>
            </w:r>
          </w:p>
        </w:tc>
        <w:tc>
          <w:tcPr>
            <w:tcW w:w="3402" w:type="dxa"/>
            <w:vAlign w:val="center"/>
          </w:tcPr>
          <w:p>
            <w:pPr>
              <w:rPr>
                <w:rFonts w:cs="Times New Roman"/>
                <w:szCs w:val="21"/>
              </w:rPr>
            </w:pPr>
            <w:r>
              <w:rPr>
                <w:rFonts w:hint="eastAsia" w:ascii="宋体" w:hAnsi="宋体"/>
                <w:szCs w:val="21"/>
              </w:rPr>
              <w:t>1、完善建设项目概况（包括用地面积、建设内容、迁改的理由等）。</w:t>
            </w:r>
          </w:p>
        </w:tc>
        <w:tc>
          <w:tcPr>
            <w:tcW w:w="2835"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建设项目基本情况明确</w:t>
            </w:r>
            <w:r>
              <w:rPr>
                <w:rFonts w:hint="eastAsia" w:hAnsi="宋体"/>
                <w:szCs w:val="21"/>
              </w:rPr>
              <w:t>用地面积；建设内容完善建设内容、迁改的理由等内容。</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1</w:t>
            </w:r>
          </w:p>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pStyle w:val="2"/>
              <w:jc w:val="center"/>
              <w:rPr>
                <w:rFonts w:ascii="Times New Roman" w:hAnsi="Times New Roman" w:cs="Times New Roman"/>
                <w:szCs w:val="21"/>
              </w:rPr>
            </w:pP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2</w:t>
            </w:r>
          </w:p>
        </w:tc>
        <w:tc>
          <w:tcPr>
            <w:tcW w:w="3402" w:type="dxa"/>
            <w:vAlign w:val="center"/>
          </w:tcPr>
          <w:p>
            <w:pPr>
              <w:rPr>
                <w:rFonts w:cs="Times New Roman"/>
                <w:szCs w:val="21"/>
              </w:rPr>
            </w:pPr>
            <w:r>
              <w:rPr>
                <w:rFonts w:hint="eastAsia" w:ascii="宋体" w:hAnsi="宋体"/>
                <w:szCs w:val="21"/>
              </w:rPr>
              <w:t>2、环境质量现状中，对引用的大气环境质量现状数据应采用最新的结果，对辐射环境质量现状应引用附件监测报告的结果，并分析目前运行线路电磁环境的达标情况。</w:t>
            </w:r>
          </w:p>
        </w:tc>
        <w:tc>
          <w:tcPr>
            <w:tcW w:w="2835"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更新</w:t>
            </w:r>
            <w:r>
              <w:rPr>
                <w:rFonts w:hint="eastAsia" w:hAnsi="宋体"/>
                <w:szCs w:val="21"/>
              </w:rPr>
              <w:t>大气环境质量现状数据；对辐射环境质量现状应引用附件监测报告的结果，并分析目前运行线路电磁环境的达标情况。</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9-10</w:t>
            </w:r>
          </w:p>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pStyle w:val="2"/>
              <w:jc w:val="center"/>
              <w:rPr>
                <w:rFonts w:ascii="Times New Roman" w:hAnsi="Times New Roman" w:cs="Times New Roman"/>
                <w:szCs w:val="21"/>
              </w:rPr>
            </w:pP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3</w:t>
            </w:r>
          </w:p>
        </w:tc>
        <w:tc>
          <w:tcPr>
            <w:tcW w:w="3402" w:type="dxa"/>
            <w:vAlign w:val="center"/>
          </w:tcPr>
          <w:p>
            <w:pPr>
              <w:rPr>
                <w:rFonts w:cs="Times New Roman"/>
                <w:szCs w:val="21"/>
              </w:rPr>
            </w:pPr>
            <w:r>
              <w:rPr>
                <w:rFonts w:hint="eastAsia" w:ascii="宋体" w:hAnsi="宋体"/>
                <w:szCs w:val="21"/>
              </w:rPr>
              <w:t>3、补充电磁环境敏感目标（包括不同楼层）电磁环境预测结果及结论。</w:t>
            </w:r>
          </w:p>
        </w:tc>
        <w:tc>
          <w:tcPr>
            <w:tcW w:w="2835" w:type="dxa"/>
            <w:vAlign w:val="center"/>
          </w:tcPr>
          <w:p>
            <w:pPr>
              <w:pStyle w:val="2"/>
              <w:jc w:val="center"/>
              <w:rPr>
                <w:rFonts w:ascii="Times New Roman" w:hAnsi="Times New Roman" w:cs="Times New Roman"/>
                <w:szCs w:val="21"/>
              </w:rPr>
            </w:pPr>
            <w:r>
              <w:rPr>
                <w:rFonts w:hint="eastAsia" w:hAnsi="宋体"/>
                <w:szCs w:val="21"/>
              </w:rPr>
              <w:t>补充电磁环境敏感目标（包括不同楼层）电磁环境预测结果及结论。</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38</w:t>
            </w:r>
          </w:p>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39</w:t>
            </w:r>
            <w:r>
              <w:rPr>
                <w:rFonts w:hint="eastAsia" w:ascii="Times New Roman" w:hAnsi="Times New Roman" w:cs="Times New Roman"/>
                <w:szCs w:val="21"/>
              </w:rPr>
              <w:t>-</w:t>
            </w:r>
            <w:r>
              <w:rPr>
                <w:rFonts w:ascii="Times New Roman" w:hAnsi="Times New Roman" w:cs="Times New Roman"/>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pStyle w:val="2"/>
              <w:jc w:val="center"/>
              <w:rPr>
                <w:rFonts w:ascii="Times New Roman" w:hAnsi="Times New Roman" w:cs="Times New Roman"/>
                <w:szCs w:val="21"/>
              </w:rPr>
            </w:pP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4</w:t>
            </w:r>
          </w:p>
        </w:tc>
        <w:tc>
          <w:tcPr>
            <w:tcW w:w="3402" w:type="dxa"/>
            <w:vAlign w:val="center"/>
          </w:tcPr>
          <w:p>
            <w:pPr>
              <w:rPr>
                <w:rFonts w:ascii="宋体" w:hAnsi="宋体"/>
                <w:szCs w:val="21"/>
              </w:rPr>
            </w:pPr>
            <w:r>
              <w:rPr>
                <w:rFonts w:ascii="宋体" w:hAnsi="宋体"/>
                <w:szCs w:val="21"/>
              </w:rPr>
              <w:t>4</w:t>
            </w:r>
            <w:r>
              <w:rPr>
                <w:rFonts w:hint="eastAsia" w:ascii="宋体" w:hAnsi="宋体"/>
                <w:szCs w:val="21"/>
              </w:rPr>
              <w:t>、根据电力线路设计规范，补充架空线路跨越铁路、河流等的净空距离要求。</w:t>
            </w:r>
          </w:p>
        </w:tc>
        <w:tc>
          <w:tcPr>
            <w:tcW w:w="2835" w:type="dxa"/>
            <w:vAlign w:val="center"/>
          </w:tcPr>
          <w:p>
            <w:pPr>
              <w:pStyle w:val="2"/>
              <w:jc w:val="center"/>
              <w:rPr>
                <w:rFonts w:ascii="Times New Roman" w:hAnsi="Times New Roman" w:cs="Times New Roman"/>
                <w:szCs w:val="21"/>
              </w:rPr>
            </w:pPr>
            <w:r>
              <w:rPr>
                <w:rFonts w:hint="eastAsia" w:hAnsi="宋体"/>
                <w:szCs w:val="21"/>
              </w:rPr>
              <w:t>根据电力线路设计规范，补充架空线路跨越铁路、河流等的净空距离要求。</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pStyle w:val="2"/>
              <w:jc w:val="center"/>
              <w:rPr>
                <w:rFonts w:ascii="Times New Roman" w:hAnsi="Times New Roman" w:cs="Times New Roman"/>
                <w:szCs w:val="21"/>
              </w:rPr>
            </w:pP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5</w:t>
            </w:r>
          </w:p>
        </w:tc>
        <w:tc>
          <w:tcPr>
            <w:tcW w:w="3402" w:type="dxa"/>
            <w:vAlign w:val="center"/>
          </w:tcPr>
          <w:p>
            <w:pPr>
              <w:rPr>
                <w:rFonts w:cs="Times New Roman"/>
                <w:szCs w:val="21"/>
              </w:rPr>
            </w:pPr>
            <w:r>
              <w:rPr>
                <w:rFonts w:hint="eastAsia" w:ascii="宋体" w:hAnsi="宋体"/>
                <w:szCs w:val="21"/>
              </w:rPr>
              <w:t>5、完善项目电磁污染防治措施（如</w:t>
            </w:r>
            <w:r>
              <w:rPr>
                <w:szCs w:val="21"/>
              </w:rPr>
              <w:t>设置标示牌、警示牌、相序牌</w:t>
            </w:r>
            <w:r>
              <w:rPr>
                <w:rFonts w:hint="eastAsia"/>
                <w:szCs w:val="21"/>
              </w:rPr>
              <w:t>等）。</w:t>
            </w:r>
          </w:p>
        </w:tc>
        <w:tc>
          <w:tcPr>
            <w:tcW w:w="2835" w:type="dxa"/>
            <w:vAlign w:val="center"/>
          </w:tcPr>
          <w:p>
            <w:pPr>
              <w:jc w:val="center"/>
              <w:rPr>
                <w:rFonts w:cs="Times New Roman"/>
                <w:szCs w:val="21"/>
              </w:rPr>
            </w:pPr>
            <w:r>
              <w:rPr>
                <w:rFonts w:hint="eastAsia" w:ascii="宋体" w:hAnsi="宋体"/>
                <w:szCs w:val="21"/>
              </w:rPr>
              <w:t>根据电力线路设计规范，完善项目电磁污染防治措施</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restart"/>
            <w:vAlign w:val="center"/>
          </w:tcPr>
          <w:p>
            <w:pPr>
              <w:pStyle w:val="2"/>
              <w:jc w:val="center"/>
              <w:rPr>
                <w:rFonts w:ascii="Times New Roman" w:hAnsi="Times New Roman" w:cs="Times New Roman"/>
                <w:szCs w:val="21"/>
              </w:rPr>
            </w:pPr>
            <w:r>
              <w:rPr>
                <w:rFonts w:hint="eastAsia" w:ascii="Times New Roman" w:hAnsi="Times New Roman" w:cs="Times New Roman"/>
                <w:szCs w:val="21"/>
              </w:rPr>
              <w:t>骆娉娉</w:t>
            </w: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1</w:t>
            </w:r>
          </w:p>
        </w:tc>
        <w:tc>
          <w:tcPr>
            <w:tcW w:w="3402" w:type="dxa"/>
            <w:vAlign w:val="center"/>
          </w:tcPr>
          <w:p>
            <w:pPr>
              <w:pStyle w:val="2"/>
              <w:rPr>
                <w:rFonts w:ascii="Times New Roman" w:hAnsi="Times New Roman" w:cs="Times New Roman"/>
                <w:szCs w:val="21"/>
              </w:rPr>
            </w:pPr>
            <w:r>
              <w:rPr>
                <w:rFonts w:hint="eastAsia" w:ascii="Times New Roman" w:hAnsi="Times New Roman" w:cs="Times New Roman"/>
                <w:szCs w:val="21"/>
              </w:rPr>
              <w:t>1、细化监测计划，明确运行期监测和竣工验收监测的责任主体。</w:t>
            </w:r>
          </w:p>
        </w:tc>
        <w:tc>
          <w:tcPr>
            <w:tcW w:w="2835"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细化监测计划，明确运行期监测和竣工验收监测的责任主体。</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pStyle w:val="2"/>
              <w:jc w:val="center"/>
              <w:rPr>
                <w:rFonts w:ascii="Times New Roman" w:hAnsi="Times New Roman" w:cs="Times New Roman"/>
                <w:szCs w:val="21"/>
              </w:rPr>
            </w:pP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2</w:t>
            </w:r>
          </w:p>
        </w:tc>
        <w:tc>
          <w:tcPr>
            <w:tcW w:w="3402" w:type="dxa"/>
            <w:vAlign w:val="center"/>
          </w:tcPr>
          <w:p>
            <w:pPr>
              <w:pStyle w:val="2"/>
              <w:rPr>
                <w:rFonts w:ascii="Times New Roman" w:hAnsi="Times New Roman" w:cs="Times New Roman"/>
                <w:szCs w:val="21"/>
              </w:rPr>
            </w:pPr>
            <w:r>
              <w:rPr>
                <w:rFonts w:hint="eastAsia" w:ascii="Times New Roman" w:hAnsi="Times New Roman" w:cs="Times New Roman"/>
                <w:szCs w:val="21"/>
              </w:rPr>
              <w:t>2、补充现状民盐1292 线20#-22#段线路的回顾性评价。</w:t>
            </w:r>
          </w:p>
        </w:tc>
        <w:tc>
          <w:tcPr>
            <w:tcW w:w="2835"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补充现状民盐1292 线20#-22#段线路的回顾性评价。</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pStyle w:val="2"/>
              <w:jc w:val="center"/>
              <w:rPr>
                <w:rFonts w:ascii="Times New Roman" w:hAnsi="Times New Roman" w:cs="Times New Roman"/>
                <w:szCs w:val="21"/>
              </w:rPr>
            </w:pP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3</w:t>
            </w:r>
          </w:p>
        </w:tc>
        <w:tc>
          <w:tcPr>
            <w:tcW w:w="3402" w:type="dxa"/>
            <w:vAlign w:val="center"/>
          </w:tcPr>
          <w:p>
            <w:pPr>
              <w:pStyle w:val="2"/>
              <w:rPr>
                <w:rFonts w:ascii="Times New Roman" w:hAnsi="Times New Roman" w:cs="Times New Roman"/>
                <w:szCs w:val="21"/>
              </w:rPr>
            </w:pPr>
            <w:r>
              <w:rPr>
                <w:rFonts w:hint="eastAsia" w:ascii="Times New Roman" w:hAnsi="Times New Roman" w:cs="Times New Roman"/>
                <w:szCs w:val="21"/>
              </w:rPr>
              <w:t>3、核</w:t>
            </w:r>
            <w:bookmarkStart w:id="74" w:name="_GoBack"/>
            <w:bookmarkEnd w:id="74"/>
            <w:r>
              <w:rPr>
                <w:rFonts w:hint="eastAsia" w:ascii="Times New Roman" w:hAnsi="Times New Roman" w:cs="Times New Roman"/>
                <w:szCs w:val="21"/>
              </w:rPr>
              <w:t>实环境敏感目标，核实电磁环境影响评价工作等级。</w:t>
            </w:r>
          </w:p>
        </w:tc>
        <w:tc>
          <w:tcPr>
            <w:tcW w:w="2835"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核实范家埭</w:t>
            </w:r>
            <w:r>
              <w:rPr>
                <w:rFonts w:ascii="Times New Roman" w:hAnsi="Times New Roman" w:cs="Times New Roman"/>
                <w:szCs w:val="21"/>
              </w:rPr>
              <w:t>15~30</w:t>
            </w:r>
            <w:r>
              <w:rPr>
                <w:rFonts w:hint="eastAsia" w:ascii="Times New Roman" w:hAnsi="Times New Roman" w:cs="Times New Roman"/>
                <w:szCs w:val="21"/>
              </w:rPr>
              <w:t>号因杭州机场高铁工程建设需要拆迁，目前人员已搬离，建筑物正在拆除中，不列为环境敏感目标，核实电磁环境影响评价工作等级为三级。</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13</w:t>
            </w:r>
          </w:p>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restart"/>
            <w:vAlign w:val="center"/>
          </w:tcPr>
          <w:p>
            <w:pPr>
              <w:pStyle w:val="2"/>
              <w:jc w:val="center"/>
              <w:rPr>
                <w:rFonts w:ascii="Times New Roman" w:hAnsi="Times New Roman" w:cs="Times New Roman"/>
                <w:szCs w:val="21"/>
              </w:rPr>
            </w:pPr>
            <w:r>
              <w:rPr>
                <w:rFonts w:hint="eastAsia" w:ascii="Times New Roman" w:hAnsi="Times New Roman" w:cs="Times New Roman"/>
                <w:szCs w:val="21"/>
              </w:rPr>
              <w:t>王子帅</w:t>
            </w: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1</w:t>
            </w:r>
          </w:p>
        </w:tc>
        <w:tc>
          <w:tcPr>
            <w:tcW w:w="3402" w:type="dxa"/>
            <w:vAlign w:val="center"/>
          </w:tcPr>
          <w:p>
            <w:pPr>
              <w:rPr>
                <w:rFonts w:hAnsi="宋体"/>
                <w:szCs w:val="21"/>
              </w:rPr>
            </w:pPr>
            <w:r>
              <w:rPr>
                <w:rFonts w:ascii="宋体" w:hAnsi="宋体"/>
                <w:szCs w:val="21"/>
              </w:rPr>
              <w:t>1</w:t>
            </w:r>
            <w:r>
              <w:rPr>
                <w:rFonts w:hint="eastAsia" w:ascii="宋体" w:hAnsi="宋体"/>
                <w:szCs w:val="21"/>
              </w:rPr>
              <w:t>、核实环境保护目标分布情况，如涉及拆迁，补充拆迁进度情况。</w:t>
            </w:r>
          </w:p>
        </w:tc>
        <w:tc>
          <w:tcPr>
            <w:tcW w:w="2835"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核实范家埭</w:t>
            </w:r>
            <w:r>
              <w:rPr>
                <w:rFonts w:ascii="Times New Roman" w:hAnsi="Times New Roman" w:cs="Times New Roman"/>
                <w:szCs w:val="21"/>
              </w:rPr>
              <w:t>15~30</w:t>
            </w:r>
            <w:r>
              <w:rPr>
                <w:rFonts w:hint="eastAsia" w:ascii="Times New Roman" w:hAnsi="Times New Roman" w:cs="Times New Roman"/>
                <w:szCs w:val="21"/>
              </w:rPr>
              <w:t>号因杭州机场高铁工程建设需要拆迁，目前人员已搬离，建筑物正在拆除中，不列为环境敏感目标</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pStyle w:val="2"/>
              <w:jc w:val="center"/>
              <w:rPr>
                <w:rFonts w:ascii="Times New Roman" w:hAnsi="Times New Roman" w:cs="Times New Roman"/>
                <w:szCs w:val="21"/>
              </w:rPr>
            </w:pP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2</w:t>
            </w:r>
          </w:p>
        </w:tc>
        <w:tc>
          <w:tcPr>
            <w:tcW w:w="3402" w:type="dxa"/>
            <w:vAlign w:val="center"/>
          </w:tcPr>
          <w:p>
            <w:pPr>
              <w:rPr>
                <w:rFonts w:hAnsi="宋体"/>
                <w:szCs w:val="21"/>
              </w:rPr>
            </w:pPr>
            <w:r>
              <w:rPr>
                <w:rFonts w:ascii="宋体" w:hAnsi="宋体"/>
                <w:szCs w:val="21"/>
              </w:rPr>
              <w:t>2</w:t>
            </w:r>
            <w:r>
              <w:rPr>
                <w:rFonts w:hint="eastAsia" w:ascii="宋体" w:hAnsi="宋体"/>
                <w:szCs w:val="21"/>
              </w:rPr>
              <w:t>、补充老线路回顾性评价内容。</w:t>
            </w:r>
          </w:p>
        </w:tc>
        <w:tc>
          <w:tcPr>
            <w:tcW w:w="2835"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补充现状民盐1292 线20#-22#段线路的回顾性评价。</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pStyle w:val="2"/>
              <w:jc w:val="center"/>
              <w:rPr>
                <w:rFonts w:ascii="Times New Roman" w:hAnsi="Times New Roman" w:cs="Times New Roman"/>
                <w:szCs w:val="21"/>
              </w:rPr>
            </w:pP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3</w:t>
            </w:r>
          </w:p>
        </w:tc>
        <w:tc>
          <w:tcPr>
            <w:tcW w:w="3402" w:type="dxa"/>
            <w:vAlign w:val="center"/>
          </w:tcPr>
          <w:p>
            <w:pPr>
              <w:rPr>
                <w:rFonts w:ascii="宋体" w:hAnsi="宋体"/>
                <w:szCs w:val="21"/>
              </w:rPr>
            </w:pPr>
            <w:r>
              <w:rPr>
                <w:rFonts w:ascii="宋体" w:hAnsi="宋体"/>
                <w:szCs w:val="21"/>
              </w:rPr>
              <w:t>3</w:t>
            </w:r>
            <w:r>
              <w:rPr>
                <w:rFonts w:hint="eastAsia" w:ascii="宋体" w:hAnsi="宋体"/>
                <w:szCs w:val="21"/>
              </w:rPr>
              <w:t>、完善环境保护目标的电磁预测评价内容。</w:t>
            </w:r>
          </w:p>
        </w:tc>
        <w:tc>
          <w:tcPr>
            <w:tcW w:w="2835" w:type="dxa"/>
            <w:vAlign w:val="center"/>
          </w:tcPr>
          <w:p>
            <w:pPr>
              <w:pStyle w:val="2"/>
              <w:jc w:val="center"/>
              <w:rPr>
                <w:rFonts w:ascii="Times New Roman" w:hAnsi="Times New Roman" w:cs="Times New Roman"/>
                <w:szCs w:val="21"/>
              </w:rPr>
            </w:pPr>
            <w:r>
              <w:rPr>
                <w:rFonts w:hint="eastAsia" w:hAnsi="宋体"/>
                <w:szCs w:val="21"/>
              </w:rPr>
              <w:t>补充电磁环境敏感目标（包括不同楼层）电磁环境预测结果及结论。</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38</w:t>
            </w:r>
          </w:p>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39</w:t>
            </w:r>
            <w:r>
              <w:rPr>
                <w:rFonts w:hint="eastAsia" w:ascii="Times New Roman" w:hAnsi="Times New Roman" w:cs="Times New Roman"/>
                <w:szCs w:val="21"/>
              </w:rPr>
              <w:t>-</w:t>
            </w:r>
            <w:r>
              <w:rPr>
                <w:rFonts w:ascii="Times New Roman" w:hAnsi="Times New Roman" w:cs="Times New Roman"/>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pStyle w:val="2"/>
              <w:jc w:val="center"/>
              <w:rPr>
                <w:rFonts w:ascii="Times New Roman" w:hAnsi="Times New Roman" w:cs="Times New Roman"/>
                <w:szCs w:val="21"/>
              </w:rPr>
            </w:pPr>
          </w:p>
        </w:tc>
        <w:tc>
          <w:tcPr>
            <w:tcW w:w="56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4</w:t>
            </w:r>
          </w:p>
        </w:tc>
        <w:tc>
          <w:tcPr>
            <w:tcW w:w="3402" w:type="dxa"/>
            <w:vAlign w:val="center"/>
          </w:tcPr>
          <w:p>
            <w:pPr>
              <w:rPr>
                <w:rFonts w:ascii="宋体" w:hAnsi="宋体"/>
                <w:szCs w:val="21"/>
              </w:rPr>
            </w:pPr>
            <w:r>
              <w:rPr>
                <w:rFonts w:ascii="宋体" w:hAnsi="宋体"/>
                <w:szCs w:val="21"/>
              </w:rPr>
              <w:t>4</w:t>
            </w:r>
            <w:r>
              <w:rPr>
                <w:rFonts w:hint="eastAsia" w:ascii="宋体" w:hAnsi="宋体"/>
                <w:szCs w:val="21"/>
              </w:rPr>
              <w:t>、补充“三区三线”管控要求的符合性分析内容。</w:t>
            </w:r>
          </w:p>
        </w:tc>
        <w:tc>
          <w:tcPr>
            <w:tcW w:w="2835" w:type="dxa"/>
            <w:vAlign w:val="center"/>
          </w:tcPr>
          <w:p>
            <w:pPr>
              <w:pStyle w:val="2"/>
              <w:jc w:val="center"/>
              <w:rPr>
                <w:rFonts w:ascii="Times New Roman" w:hAnsi="Times New Roman" w:cs="Times New Roman"/>
                <w:szCs w:val="21"/>
              </w:rPr>
            </w:pPr>
            <w:r>
              <w:rPr>
                <w:rFonts w:hint="eastAsia" w:hAnsi="宋体"/>
                <w:szCs w:val="21"/>
              </w:rPr>
              <w:t>补充“三区三线”管控要求的符合性分析内容</w:t>
            </w:r>
          </w:p>
        </w:tc>
        <w:tc>
          <w:tcPr>
            <w:tcW w:w="1127" w:type="dxa"/>
            <w:vAlign w:val="center"/>
          </w:tcPr>
          <w:p>
            <w:pPr>
              <w:pStyle w:val="2"/>
              <w:jc w:val="center"/>
              <w:rPr>
                <w:rFonts w:ascii="Times New Roman" w:hAnsi="Times New Roman" w:cs="Times New Roman"/>
                <w:szCs w:val="21"/>
              </w:rPr>
            </w:pPr>
            <w:r>
              <w:rPr>
                <w:rFonts w:hint="eastAsia" w:ascii="Times New Roman" w:hAnsi="Times New Roman" w:cs="Times New Roman"/>
                <w:szCs w:val="21"/>
              </w:rPr>
              <w:t>P</w:t>
            </w:r>
            <w:r>
              <w:rPr>
                <w:rFonts w:ascii="Times New Roman" w:hAnsi="Times New Roman" w:cs="Times New Roman"/>
                <w:szCs w:val="21"/>
              </w:rPr>
              <w:t>22</w:t>
            </w:r>
          </w:p>
        </w:tc>
      </w:tr>
      <w:bookmarkEnd w:id="72"/>
    </w:tbl>
    <w:p>
      <w:pPr>
        <w:pStyle w:val="2"/>
        <w:rPr>
          <w:highlight w:val="yellow"/>
        </w:rPr>
      </w:pPr>
    </w:p>
    <w:sectPr>
      <w:pgSz w:w="11906" w:h="16838"/>
      <w:pgMar w:top="1418" w:right="1418" w:bottom="1418" w:left="141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ourier New">
    <w:panose1 w:val="02070309020205020404"/>
    <w:charset w:val="00"/>
    <w:family w:val="modern"/>
    <w:pitch w:val="default"/>
    <w:sig w:usb0="E0002EFF" w:usb1="C0007843" w:usb2="00000009" w:usb3="00000000" w:csb0="400001FF" w:csb1="FFFF0000"/>
  </w:font>
  <w:font w:name="Arial">
    <w:panose1 w:val="020B0604020202020204"/>
    <w:charset w:val="00"/>
    <w:family w:val="swiss"/>
    <w:pitch w:val="default"/>
    <w:sig w:usb0="E0002EFF" w:usb1="C000785B" w:usb2="00000009" w:usb3="00000000" w:csb0="400001FF" w:csb1="FFFF0000"/>
  </w:font>
  <w:font w:name="Microsoft YaHei UI">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Batang">
    <w:altName w:val="Malgun Gothic"/>
    <w:panose1 w:val="02030600000101010101"/>
    <w:charset w:val="81"/>
    <w:family w:val="auto"/>
    <w:pitch w:val="default"/>
    <w:sig w:usb0="00000000" w:usb1="0000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pPr>
  </w:p>
  <w:p>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3888634"/>
    </w:sdtPr>
    <w:sdtEndPr>
      <w:rPr>
        <w:rFonts w:cs="Times New Roman"/>
      </w:rPr>
    </w:sdtEndPr>
    <w:sdtContent>
      <w:p>
        <w:pPr>
          <w:pStyle w:val="18"/>
          <w:jc w:val="center"/>
          <w:rPr>
            <w:rFonts w:cs="Times New Roman"/>
          </w:rPr>
        </w:pPr>
        <w:r>
          <w:rPr>
            <w:rFonts w:cs="Times New Roman"/>
          </w:rPr>
          <w:fldChar w:fldCharType="begin"/>
        </w:r>
        <w:r>
          <w:rPr>
            <w:rFonts w:cs="Times New Roman"/>
          </w:rPr>
          <w:instrText xml:space="preserve">PAGE   \* MERGEFORMAT</w:instrText>
        </w:r>
        <w:r>
          <w:rPr>
            <w:rFonts w:cs="Times New Roman"/>
          </w:rPr>
          <w:fldChar w:fldCharType="separate"/>
        </w:r>
        <w:r>
          <w:rPr>
            <w:rFonts w:cs="Times New Roman"/>
            <w:lang w:val="zh-CN"/>
          </w:rPr>
          <w:t>1</w:t>
        </w:r>
        <w:r>
          <w:rPr>
            <w:rFonts w:cs="Times New Roman"/>
          </w:rPr>
          <w:fldChar w:fldCharType="end"/>
        </w:r>
      </w:p>
    </w:sdtContent>
  </w:sdt>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pPr>
                          <w:r>
                            <w:rPr>
                              <w:rFonts w:hint="eastAsia"/>
                            </w:rPr>
                            <w:fldChar w:fldCharType="begin"/>
                          </w:r>
                          <w:r>
                            <w:rPr>
                              <w:rFonts w:hint="eastAsia"/>
                            </w:rPr>
                            <w:instrText xml:space="preserve"> PAGE  \* MERGEFORMAT </w:instrText>
                          </w:r>
                          <w:r>
                            <w:rPr>
                              <w:rFonts w:hint="eastAsia"/>
                            </w:rPr>
                            <w:fldChar w:fldCharType="separate"/>
                          </w:r>
                          <w:r>
                            <w:t>42</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7O+mqgBAABBAwAADgAAAGRycy9lMm9Eb2MueG1srVLNahsxEL4H8g5C&#10;91obB4pZvA4JISVQ0kKSB5C1klegPzSKd/0C6Rv01EvvfS4/R0byrpM0t9KLNJoZfTPfN7O8GKwh&#10;WxlBe9fQs1lFiXTCt9ptGvr4cPNpQQkk7lpuvJMN3UmgF6vTk2Ufajn3nTetjARBHNR9aGiXUqgZ&#10;A9FJy2Hmg3QYVD5anvAZN6yNvEd0a9i8qj6z3sc2RC8kAHqvD0G6KvhKSZG+KQUyEdNQ7C2VM5Zz&#10;nU+2WvJ6E3notBjb4P/QheXaYdEj1DVPnDxF/QHKahE9eJVmwlvmldJCFg7I5qz6i819x4MsXFAc&#10;CEeZ4P/Birvt90h029Dzc0octzij/c8f+19/9r+fCfpQoD5AjXn3ATPTcOUHHPTkB3Rm3oOKNt/I&#10;iGAcpd4d5ZVDIiJ/WswXiwpDAmPTA/HZ6/cQIX2R3pJsNDTi/IqsfPsV0iF1SsnVnL/RxpQZGvfO&#10;gZjZw3Lvhx6zlYb1MBJa+3aHfHocfUMd7iYl5tahsnlLJiNOxno0cg0Il08JC5d+MuoBaiyGcyqM&#10;xp3Ki/D2XbJeN3/1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M6pebnPAAAABQEAAA8AAAAAAAAA&#10;AQAgAAAAIgAAAGRycy9kb3ducmV2LnhtbFBLAQIUABQAAAAIAIdO4kDTs76aqAEAAEEDAAAOAAAA&#10;AAAAAAEAIAAAAB4BAABkcnMvZTJvRG9jLnhtbFBLBQYAAAAABgAGAFkBAAA4BQAAAAA=&#10;">
              <v:fill on="f" focussize="0,0"/>
              <v:stroke on="f"/>
              <v:imagedata o:title=""/>
              <o:lock v:ext="edit" aspectratio="f"/>
              <v:textbox inset="0mm,0mm,0mm,0mm" style="mso-fit-shape-to-text:t;">
                <w:txbxContent>
                  <w:p>
                    <w:pPr>
                      <w:pStyle w:val="18"/>
                    </w:pPr>
                    <w:r>
                      <w:rPr>
                        <w:rFonts w:hint="eastAsia"/>
                      </w:rPr>
                      <w:fldChar w:fldCharType="begin"/>
                    </w:r>
                    <w:r>
                      <w:rPr>
                        <w:rFonts w:hint="eastAsia"/>
                      </w:rPr>
                      <w:instrText xml:space="preserve"> PAGE  \* MERGEFORMAT </w:instrText>
                    </w:r>
                    <w:r>
                      <w:rPr>
                        <w:rFonts w:hint="eastAsia"/>
                      </w:rPr>
                      <w:fldChar w:fldCharType="separate"/>
                    </w:r>
                    <w:r>
                      <w:t>42</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DD49ED"/>
    <w:multiLevelType w:val="multilevel"/>
    <w:tmpl w:val="13DD49E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20830C0F"/>
    <w:multiLevelType w:val="multilevel"/>
    <w:tmpl w:val="20830C0F"/>
    <w:lvl w:ilvl="0" w:tentative="0">
      <w:start w:val="2"/>
      <w:numFmt w:val="decimal"/>
      <w:lvlText w:val="%1."/>
      <w:lvlJc w:val="left"/>
      <w:pPr>
        <w:ind w:left="0" w:firstLine="0"/>
      </w:pPr>
      <w:rPr>
        <w:rFonts w:hint="eastAsia"/>
      </w:rPr>
    </w:lvl>
    <w:lvl w:ilvl="1" w:tentative="0">
      <w:start w:val="2"/>
      <w:numFmt w:val="decimal"/>
      <w:lvlText w:val="%2."/>
      <w:lvlJc w:val="left"/>
      <w:pPr>
        <w:ind w:left="0" w:firstLine="0"/>
      </w:pPr>
      <w:rPr>
        <w:rFonts w:hint="eastAsia"/>
      </w:rPr>
    </w:lvl>
    <w:lvl w:ilvl="2" w:tentative="0">
      <w:start w:val="1"/>
      <w:numFmt w:val="decimal"/>
      <w:lvlRestart w:val="1"/>
      <w:isLgl/>
      <w:lvlText w:val="%1.%2.%3."/>
      <w:lvlJc w:val="left"/>
      <w:pPr>
        <w:ind w:left="57" w:hanging="57"/>
      </w:pPr>
      <w:rPr>
        <w:rFonts w:hint="eastAsia"/>
      </w:rPr>
    </w:lvl>
    <w:lvl w:ilvl="3" w:tentative="0">
      <w:start w:val="1"/>
      <w:numFmt w:val="decimal"/>
      <w:lvlText w:val="%1.%2.%3.%4."/>
      <w:lvlJc w:val="left"/>
      <w:pPr>
        <w:ind w:left="851" w:hanging="851"/>
      </w:pPr>
      <w:rPr>
        <w:rFonts w:hint="eastAsia"/>
        <w:b w:val="0"/>
        <w:bCs w:val="0"/>
        <w:i w:val="0"/>
        <w:iCs w:val="0"/>
        <w:caps w:val="0"/>
        <w:smallCaps w:val="0"/>
        <w:strike w:val="0"/>
        <w:dstrike w:val="0"/>
        <w:vanish w:val="0"/>
        <w:color w:val="000000"/>
        <w:spacing w:val="0"/>
        <w:position w:val="0"/>
        <w:u w:val="none"/>
        <w:vertAlign w:val="baseline"/>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2">
    <w:nsid w:val="25BACE9F"/>
    <w:multiLevelType w:val="singleLevel"/>
    <w:tmpl w:val="25BACE9F"/>
    <w:lvl w:ilvl="0" w:tentative="0">
      <w:start w:val="1"/>
      <w:numFmt w:val="decimal"/>
      <w:suff w:val="nothing"/>
      <w:lvlText w:val="（%1）"/>
      <w:lvlJc w:val="left"/>
    </w:lvl>
  </w:abstractNum>
  <w:abstractNum w:abstractNumId="3">
    <w:nsid w:val="38990D2A"/>
    <w:multiLevelType w:val="multilevel"/>
    <w:tmpl w:val="38990D2A"/>
    <w:lvl w:ilvl="0" w:tentative="0">
      <w:start w:val="1"/>
      <w:numFmt w:val="decimal"/>
      <w:pStyle w:val="4"/>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3BF024FD"/>
    <w:multiLevelType w:val="multilevel"/>
    <w:tmpl w:val="3BF024FD"/>
    <w:lvl w:ilvl="0" w:tentative="0">
      <w:start w:val="2"/>
      <w:numFmt w:val="decimal"/>
      <w:lvlText w:val="%1."/>
      <w:lvlJc w:val="left"/>
      <w:pPr>
        <w:ind w:left="420" w:hanging="420"/>
      </w:pPr>
      <w:rPr>
        <w:rFonts w:hint="eastAsia"/>
      </w:rPr>
    </w:lvl>
    <w:lvl w:ilvl="1" w:tentative="0">
      <w:start w:val="1"/>
      <w:numFmt w:val="decimal"/>
      <w:lvlText w:val="%2."/>
      <w:lvlJc w:val="left"/>
      <w:pPr>
        <w:ind w:left="360" w:hanging="36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080" w:hanging="108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440" w:hanging="1440"/>
      </w:pPr>
      <w:rPr>
        <w:rFonts w:hint="default"/>
      </w:rPr>
    </w:lvl>
  </w:abstractNum>
  <w:abstractNum w:abstractNumId="5">
    <w:nsid w:val="572B588C"/>
    <w:multiLevelType w:val="multilevel"/>
    <w:tmpl w:val="572B588C"/>
    <w:lvl w:ilvl="0" w:tentative="0">
      <w:start w:val="1"/>
      <w:numFmt w:val="decimal"/>
      <w:lvlText w:val="%1."/>
      <w:lvlJc w:val="left"/>
      <w:pPr>
        <w:ind w:left="0" w:firstLine="0"/>
      </w:pPr>
      <w:rPr>
        <w:rFonts w:hint="eastAsia"/>
      </w:rPr>
    </w:lvl>
    <w:lvl w:ilvl="1" w:tentative="0">
      <w:start w:val="2"/>
      <w:numFmt w:val="decimal"/>
      <w:lvlText w:val="%2."/>
      <w:lvlJc w:val="left"/>
      <w:pPr>
        <w:ind w:left="0" w:firstLine="0"/>
      </w:pPr>
      <w:rPr>
        <w:rFonts w:hint="eastAsia"/>
      </w:rPr>
    </w:lvl>
    <w:lvl w:ilvl="2" w:tentative="0">
      <w:start w:val="1"/>
      <w:numFmt w:val="decimal"/>
      <w:lvlRestart w:val="1"/>
      <w:isLgl/>
      <w:lvlText w:val="%1.%2.%3."/>
      <w:lvlJc w:val="left"/>
      <w:pPr>
        <w:ind w:left="57" w:hanging="57"/>
      </w:pPr>
      <w:rPr>
        <w:rFonts w:hint="eastAsia"/>
      </w:rPr>
    </w:lvl>
    <w:lvl w:ilvl="3" w:tentative="0">
      <w:start w:val="1"/>
      <w:numFmt w:val="decimal"/>
      <w:lvlText w:val="%1.%2.%3.%4."/>
      <w:lvlJc w:val="left"/>
      <w:pPr>
        <w:ind w:left="851" w:hanging="851"/>
      </w:pPr>
      <w:rPr>
        <w:rFonts w:hint="eastAsia"/>
        <w:b w:val="0"/>
        <w:bCs w:val="0"/>
        <w:i w:val="0"/>
        <w:iCs w:val="0"/>
        <w:caps w:val="0"/>
        <w:smallCaps w:val="0"/>
        <w:strike w:val="0"/>
        <w:dstrike w:val="0"/>
        <w:vanish w:val="0"/>
        <w:color w:val="000000"/>
        <w:spacing w:val="0"/>
        <w:position w:val="0"/>
        <w:u w:val="none"/>
        <w:vertAlign w:val="baseline"/>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6">
    <w:nsid w:val="5A221012"/>
    <w:multiLevelType w:val="multilevel"/>
    <w:tmpl w:val="5A221012"/>
    <w:lvl w:ilvl="0" w:tentative="0">
      <w:start w:val="2"/>
      <w:numFmt w:val="decimal"/>
      <w:lvlText w:val="%1."/>
      <w:lvlJc w:val="left"/>
      <w:pPr>
        <w:ind w:left="0" w:firstLine="0"/>
      </w:pPr>
      <w:rPr>
        <w:rFonts w:hint="eastAsia"/>
      </w:rPr>
    </w:lvl>
    <w:lvl w:ilvl="1" w:tentative="0">
      <w:start w:val="3"/>
      <w:numFmt w:val="decimal"/>
      <w:lvlText w:val="%2."/>
      <w:lvlJc w:val="left"/>
      <w:pPr>
        <w:ind w:left="0" w:firstLine="0"/>
      </w:pPr>
      <w:rPr>
        <w:rFonts w:hint="eastAsia"/>
      </w:rPr>
    </w:lvl>
    <w:lvl w:ilvl="2" w:tentative="0">
      <w:start w:val="1"/>
      <w:numFmt w:val="decimal"/>
      <w:lvlRestart w:val="1"/>
      <w:isLgl/>
      <w:lvlText w:val="%1.%2.%3."/>
      <w:lvlJc w:val="left"/>
      <w:pPr>
        <w:ind w:left="57" w:hanging="57"/>
      </w:pPr>
      <w:rPr>
        <w:rFonts w:hint="eastAsia"/>
      </w:rPr>
    </w:lvl>
    <w:lvl w:ilvl="3" w:tentative="0">
      <w:start w:val="1"/>
      <w:numFmt w:val="decimal"/>
      <w:lvlText w:val="%1.%2.%3.%4."/>
      <w:lvlJc w:val="left"/>
      <w:pPr>
        <w:ind w:left="851" w:hanging="851"/>
      </w:pPr>
      <w:rPr>
        <w:rFonts w:hint="eastAsia"/>
        <w:b w:val="0"/>
        <w:bCs w:val="0"/>
        <w:i w:val="0"/>
        <w:iCs w:val="0"/>
        <w:caps w:val="0"/>
        <w:smallCaps w:val="0"/>
        <w:strike w:val="0"/>
        <w:dstrike w:val="0"/>
        <w:vanish w:val="0"/>
        <w:color w:val="000000"/>
        <w:spacing w:val="0"/>
        <w:position w:val="0"/>
        <w:u w:val="none"/>
        <w:vertAlign w:val="baseline"/>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7">
    <w:nsid w:val="6C7C14D5"/>
    <w:multiLevelType w:val="multilevel"/>
    <w:tmpl w:val="6C7C14D5"/>
    <w:lvl w:ilvl="0" w:tentative="0">
      <w:start w:val="8"/>
      <w:numFmt w:val="decimal"/>
      <w:lvlText w:val="%1."/>
      <w:lvlJc w:val="left"/>
      <w:pPr>
        <w:ind w:left="420" w:hanging="420"/>
      </w:pPr>
      <w:rPr>
        <w:rFonts w:hint="eastAsia"/>
      </w:rPr>
    </w:lvl>
    <w:lvl w:ilvl="1" w:tentative="0">
      <w:start w:val="9"/>
      <w:numFmt w:val="decimal"/>
      <w:lvlText w:val="%2."/>
      <w:lvlJc w:val="left"/>
      <w:pPr>
        <w:ind w:left="360" w:hanging="36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080" w:hanging="108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440" w:hanging="1440"/>
      </w:pPr>
      <w:rPr>
        <w:rFonts w:hint="default"/>
      </w:rPr>
    </w:lvl>
  </w:abstractNum>
  <w:abstractNum w:abstractNumId="8">
    <w:nsid w:val="6CA54738"/>
    <w:multiLevelType w:val="multilevel"/>
    <w:tmpl w:val="6CA54738"/>
    <w:lvl w:ilvl="0" w:tentative="0">
      <w:start w:val="1"/>
      <w:numFmt w:val="decimal"/>
      <w:lvlText w:val="%1."/>
      <w:lvlJc w:val="left"/>
      <w:pPr>
        <w:ind w:left="0" w:firstLine="0"/>
      </w:pPr>
      <w:rPr>
        <w:rFonts w:hint="eastAsia"/>
      </w:rPr>
    </w:lvl>
    <w:lvl w:ilvl="1" w:tentative="0">
      <w:start w:val="1"/>
      <w:numFmt w:val="decimal"/>
      <w:pStyle w:val="5"/>
      <w:isLgl/>
      <w:lvlText w:val="%1.%2."/>
      <w:lvlJc w:val="left"/>
      <w:pPr>
        <w:ind w:left="0" w:firstLine="0"/>
      </w:pPr>
      <w:rPr>
        <w:rFonts w:hint="eastAsia"/>
      </w:rPr>
    </w:lvl>
    <w:lvl w:ilvl="2" w:tentative="0">
      <w:start w:val="1"/>
      <w:numFmt w:val="decimal"/>
      <w:lvlRestart w:val="1"/>
      <w:isLgl/>
      <w:lvlText w:val="%1.%2.%3."/>
      <w:lvlJc w:val="left"/>
      <w:pPr>
        <w:ind w:left="57" w:hanging="57"/>
      </w:pPr>
      <w:rPr>
        <w:rFonts w:hint="eastAsia"/>
      </w:rPr>
    </w:lvl>
    <w:lvl w:ilvl="3" w:tentative="0">
      <w:start w:val="1"/>
      <w:numFmt w:val="decimal"/>
      <w:lvlText w:val="%1.%2.%3.%4."/>
      <w:lvlJc w:val="left"/>
      <w:pPr>
        <w:ind w:left="851" w:hanging="851"/>
      </w:pPr>
      <w:rPr>
        <w:rFonts w:hint="eastAsia"/>
        <w:b w:val="0"/>
        <w:bCs w:val="0"/>
        <w:i w:val="0"/>
        <w:iCs w:val="0"/>
        <w:caps w:val="0"/>
        <w:smallCaps w:val="0"/>
        <w:strike w:val="0"/>
        <w:dstrike w:val="0"/>
        <w:vanish w:val="0"/>
        <w:color w:val="000000"/>
        <w:spacing w:val="0"/>
        <w:position w:val="0"/>
        <w:u w:val="none"/>
        <w:vertAlign w:val="baseline"/>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9">
    <w:nsid w:val="77857E3D"/>
    <w:multiLevelType w:val="multilevel"/>
    <w:tmpl w:val="77857E3D"/>
    <w:lvl w:ilvl="0" w:tentative="0">
      <w:start w:val="3"/>
      <w:numFmt w:val="decimal"/>
      <w:lvlText w:val="%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8"/>
  </w:num>
  <w:num w:numId="3">
    <w:abstractNumId w:val="2"/>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4"/>
  </w:num>
  <w:num w:numId="7">
    <w:abstractNumId w:val="7"/>
  </w:num>
  <w:num w:numId="8">
    <w:abstractNumId w:val="5"/>
  </w:num>
  <w:num w:numId="9">
    <w:abstractNumId w:val="6"/>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9"/>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1"/>
  <w:bordersDoNotSurroundFooter w:val="1"/>
  <w:hideSpelling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nforcement="0"/>
  <w:defaultTabStop w:val="420"/>
  <w:drawingGridHorizontalSpacing w:val="105"/>
  <w:drawingGridVerticalSpacing w:val="156"/>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M3YTVkMDc1NDRhZjBhZmM2OTI4MmVjN2RlNzg3NjIifQ=="/>
  </w:docVars>
  <w:rsids>
    <w:rsidRoot w:val="00172A27"/>
    <w:rsid w:val="00001F73"/>
    <w:rsid w:val="00004D5A"/>
    <w:rsid w:val="00012F6D"/>
    <w:rsid w:val="00020C01"/>
    <w:rsid w:val="00032461"/>
    <w:rsid w:val="00035CCD"/>
    <w:rsid w:val="00045BAD"/>
    <w:rsid w:val="000474D6"/>
    <w:rsid w:val="00052C25"/>
    <w:rsid w:val="00061C07"/>
    <w:rsid w:val="000701CF"/>
    <w:rsid w:val="00074622"/>
    <w:rsid w:val="0007562A"/>
    <w:rsid w:val="00075A49"/>
    <w:rsid w:val="00077BA0"/>
    <w:rsid w:val="0008372F"/>
    <w:rsid w:val="00084CA6"/>
    <w:rsid w:val="00085F74"/>
    <w:rsid w:val="00094291"/>
    <w:rsid w:val="00094E6F"/>
    <w:rsid w:val="0009626A"/>
    <w:rsid w:val="00097252"/>
    <w:rsid w:val="000A0FB3"/>
    <w:rsid w:val="000A3756"/>
    <w:rsid w:val="000A5F80"/>
    <w:rsid w:val="000B6983"/>
    <w:rsid w:val="000C42A7"/>
    <w:rsid w:val="000D2A52"/>
    <w:rsid w:val="000E1409"/>
    <w:rsid w:val="000E59B7"/>
    <w:rsid w:val="000E5D74"/>
    <w:rsid w:val="000E6B33"/>
    <w:rsid w:val="000F4C1E"/>
    <w:rsid w:val="000F6BC4"/>
    <w:rsid w:val="001020F8"/>
    <w:rsid w:val="00102EFA"/>
    <w:rsid w:val="00110C07"/>
    <w:rsid w:val="00112CEF"/>
    <w:rsid w:val="00117CFB"/>
    <w:rsid w:val="00122107"/>
    <w:rsid w:val="00123591"/>
    <w:rsid w:val="00123E86"/>
    <w:rsid w:val="00126B29"/>
    <w:rsid w:val="00137412"/>
    <w:rsid w:val="00137B93"/>
    <w:rsid w:val="00141F51"/>
    <w:rsid w:val="001428E7"/>
    <w:rsid w:val="00151504"/>
    <w:rsid w:val="00165EC6"/>
    <w:rsid w:val="0016694A"/>
    <w:rsid w:val="00172A27"/>
    <w:rsid w:val="0017470B"/>
    <w:rsid w:val="00175E1B"/>
    <w:rsid w:val="00176670"/>
    <w:rsid w:val="00184411"/>
    <w:rsid w:val="001949AF"/>
    <w:rsid w:val="001A0EDB"/>
    <w:rsid w:val="001A3752"/>
    <w:rsid w:val="001B2AD6"/>
    <w:rsid w:val="001B40BE"/>
    <w:rsid w:val="001B41CD"/>
    <w:rsid w:val="001C0AF1"/>
    <w:rsid w:val="001C2BFC"/>
    <w:rsid w:val="001C4D28"/>
    <w:rsid w:val="001C5588"/>
    <w:rsid w:val="001D2492"/>
    <w:rsid w:val="001E22AB"/>
    <w:rsid w:val="001E41FD"/>
    <w:rsid w:val="001E7B3F"/>
    <w:rsid w:val="001F65C8"/>
    <w:rsid w:val="001F71E9"/>
    <w:rsid w:val="00223AA0"/>
    <w:rsid w:val="002244B3"/>
    <w:rsid w:val="00230E04"/>
    <w:rsid w:val="00231DDD"/>
    <w:rsid w:val="002353BE"/>
    <w:rsid w:val="002357AB"/>
    <w:rsid w:val="002429F3"/>
    <w:rsid w:val="002516FD"/>
    <w:rsid w:val="00253DD6"/>
    <w:rsid w:val="0025436E"/>
    <w:rsid w:val="0027140D"/>
    <w:rsid w:val="00273EF1"/>
    <w:rsid w:val="00274313"/>
    <w:rsid w:val="00275DDC"/>
    <w:rsid w:val="00277FE3"/>
    <w:rsid w:val="002874FF"/>
    <w:rsid w:val="002961D9"/>
    <w:rsid w:val="002A18E8"/>
    <w:rsid w:val="002B6A41"/>
    <w:rsid w:val="002C1B46"/>
    <w:rsid w:val="002C3D49"/>
    <w:rsid w:val="002D13C8"/>
    <w:rsid w:val="002D3B8C"/>
    <w:rsid w:val="002D6191"/>
    <w:rsid w:val="002D6992"/>
    <w:rsid w:val="002D7F13"/>
    <w:rsid w:val="002F7E86"/>
    <w:rsid w:val="003027FA"/>
    <w:rsid w:val="003072E7"/>
    <w:rsid w:val="00310A8B"/>
    <w:rsid w:val="0032074B"/>
    <w:rsid w:val="003217E6"/>
    <w:rsid w:val="003275D4"/>
    <w:rsid w:val="00331517"/>
    <w:rsid w:val="0033276E"/>
    <w:rsid w:val="00333A96"/>
    <w:rsid w:val="00334B5B"/>
    <w:rsid w:val="003373A1"/>
    <w:rsid w:val="0034596C"/>
    <w:rsid w:val="003475AF"/>
    <w:rsid w:val="003476A9"/>
    <w:rsid w:val="00356543"/>
    <w:rsid w:val="00370381"/>
    <w:rsid w:val="00372CED"/>
    <w:rsid w:val="0037452C"/>
    <w:rsid w:val="00374F71"/>
    <w:rsid w:val="003871D9"/>
    <w:rsid w:val="0039069F"/>
    <w:rsid w:val="00395F80"/>
    <w:rsid w:val="003A2F0E"/>
    <w:rsid w:val="003B0821"/>
    <w:rsid w:val="003C25C2"/>
    <w:rsid w:val="003C697F"/>
    <w:rsid w:val="003C724B"/>
    <w:rsid w:val="003D0B4C"/>
    <w:rsid w:val="003D1441"/>
    <w:rsid w:val="003D1D95"/>
    <w:rsid w:val="003D2C5C"/>
    <w:rsid w:val="003E0032"/>
    <w:rsid w:val="003E170E"/>
    <w:rsid w:val="003E4372"/>
    <w:rsid w:val="003E567F"/>
    <w:rsid w:val="00400357"/>
    <w:rsid w:val="0040648E"/>
    <w:rsid w:val="00411EE2"/>
    <w:rsid w:val="00412C46"/>
    <w:rsid w:val="00413347"/>
    <w:rsid w:val="0041347D"/>
    <w:rsid w:val="00417FFE"/>
    <w:rsid w:val="004239BD"/>
    <w:rsid w:val="00434331"/>
    <w:rsid w:val="00434707"/>
    <w:rsid w:val="00453224"/>
    <w:rsid w:val="0045397B"/>
    <w:rsid w:val="00466622"/>
    <w:rsid w:val="00471BBF"/>
    <w:rsid w:val="00473BE9"/>
    <w:rsid w:val="00477098"/>
    <w:rsid w:val="004834F1"/>
    <w:rsid w:val="00494795"/>
    <w:rsid w:val="004A01E2"/>
    <w:rsid w:val="004A0880"/>
    <w:rsid w:val="004B2CB8"/>
    <w:rsid w:val="004B4909"/>
    <w:rsid w:val="004C0AB9"/>
    <w:rsid w:val="004C2833"/>
    <w:rsid w:val="004C5006"/>
    <w:rsid w:val="004C6F67"/>
    <w:rsid w:val="004D4298"/>
    <w:rsid w:val="004D6F90"/>
    <w:rsid w:val="004E60F5"/>
    <w:rsid w:val="004E6E18"/>
    <w:rsid w:val="004F02CE"/>
    <w:rsid w:val="004F3A86"/>
    <w:rsid w:val="004F511A"/>
    <w:rsid w:val="0050099D"/>
    <w:rsid w:val="00500DDB"/>
    <w:rsid w:val="005071CD"/>
    <w:rsid w:val="00507F66"/>
    <w:rsid w:val="00510FCF"/>
    <w:rsid w:val="00511378"/>
    <w:rsid w:val="005225B4"/>
    <w:rsid w:val="005255FC"/>
    <w:rsid w:val="00526604"/>
    <w:rsid w:val="00526C70"/>
    <w:rsid w:val="00530E4A"/>
    <w:rsid w:val="00532CF8"/>
    <w:rsid w:val="005360B7"/>
    <w:rsid w:val="00537C37"/>
    <w:rsid w:val="005443A6"/>
    <w:rsid w:val="00546306"/>
    <w:rsid w:val="00562C0C"/>
    <w:rsid w:val="005674D1"/>
    <w:rsid w:val="00570916"/>
    <w:rsid w:val="005732D6"/>
    <w:rsid w:val="0057398C"/>
    <w:rsid w:val="005765AD"/>
    <w:rsid w:val="0058239F"/>
    <w:rsid w:val="0058584C"/>
    <w:rsid w:val="00591CF8"/>
    <w:rsid w:val="00597FD1"/>
    <w:rsid w:val="005A2DA7"/>
    <w:rsid w:val="005B25F3"/>
    <w:rsid w:val="005B4096"/>
    <w:rsid w:val="005C2508"/>
    <w:rsid w:val="005C2DFB"/>
    <w:rsid w:val="005E73D2"/>
    <w:rsid w:val="005F0AC3"/>
    <w:rsid w:val="005F3C70"/>
    <w:rsid w:val="00612BE6"/>
    <w:rsid w:val="00617032"/>
    <w:rsid w:val="00623A16"/>
    <w:rsid w:val="00626638"/>
    <w:rsid w:val="00627964"/>
    <w:rsid w:val="006317A6"/>
    <w:rsid w:val="00635881"/>
    <w:rsid w:val="00637342"/>
    <w:rsid w:val="00642A0E"/>
    <w:rsid w:val="0065755E"/>
    <w:rsid w:val="006616D3"/>
    <w:rsid w:val="00665ACE"/>
    <w:rsid w:val="006666FF"/>
    <w:rsid w:val="006718A8"/>
    <w:rsid w:val="00671F0B"/>
    <w:rsid w:val="00672A8B"/>
    <w:rsid w:val="0067677D"/>
    <w:rsid w:val="00685A91"/>
    <w:rsid w:val="00690D4B"/>
    <w:rsid w:val="00693B79"/>
    <w:rsid w:val="00695537"/>
    <w:rsid w:val="006A0393"/>
    <w:rsid w:val="006A3792"/>
    <w:rsid w:val="006A384D"/>
    <w:rsid w:val="006B7BE2"/>
    <w:rsid w:val="006C1276"/>
    <w:rsid w:val="006C2E09"/>
    <w:rsid w:val="006C3402"/>
    <w:rsid w:val="006C4A38"/>
    <w:rsid w:val="006C7F91"/>
    <w:rsid w:val="006D0520"/>
    <w:rsid w:val="006D309A"/>
    <w:rsid w:val="006D344A"/>
    <w:rsid w:val="006D3D77"/>
    <w:rsid w:val="006D4971"/>
    <w:rsid w:val="006F230D"/>
    <w:rsid w:val="0070672B"/>
    <w:rsid w:val="007110E7"/>
    <w:rsid w:val="00717294"/>
    <w:rsid w:val="00720DA9"/>
    <w:rsid w:val="00726C5A"/>
    <w:rsid w:val="00730A03"/>
    <w:rsid w:val="00741E15"/>
    <w:rsid w:val="00746E7A"/>
    <w:rsid w:val="00761EB8"/>
    <w:rsid w:val="0076491B"/>
    <w:rsid w:val="00765A7D"/>
    <w:rsid w:val="007674D8"/>
    <w:rsid w:val="007704D0"/>
    <w:rsid w:val="00773803"/>
    <w:rsid w:val="00775119"/>
    <w:rsid w:val="00785B20"/>
    <w:rsid w:val="00786178"/>
    <w:rsid w:val="00796C18"/>
    <w:rsid w:val="007A025B"/>
    <w:rsid w:val="007A1BB0"/>
    <w:rsid w:val="007A1CF3"/>
    <w:rsid w:val="007A6F04"/>
    <w:rsid w:val="007B6A86"/>
    <w:rsid w:val="007B6F52"/>
    <w:rsid w:val="007C6812"/>
    <w:rsid w:val="007C69FE"/>
    <w:rsid w:val="007D2010"/>
    <w:rsid w:val="007D2EAD"/>
    <w:rsid w:val="007D5C2C"/>
    <w:rsid w:val="007E6967"/>
    <w:rsid w:val="007F10AA"/>
    <w:rsid w:val="007F20C8"/>
    <w:rsid w:val="007F2410"/>
    <w:rsid w:val="00801058"/>
    <w:rsid w:val="0080431C"/>
    <w:rsid w:val="0080440D"/>
    <w:rsid w:val="00813A83"/>
    <w:rsid w:val="008153F2"/>
    <w:rsid w:val="00815556"/>
    <w:rsid w:val="008205D9"/>
    <w:rsid w:val="00825794"/>
    <w:rsid w:val="008268FC"/>
    <w:rsid w:val="00827B1C"/>
    <w:rsid w:val="00846519"/>
    <w:rsid w:val="0085046F"/>
    <w:rsid w:val="0086664D"/>
    <w:rsid w:val="00874FC9"/>
    <w:rsid w:val="00880008"/>
    <w:rsid w:val="00884810"/>
    <w:rsid w:val="008900D3"/>
    <w:rsid w:val="00891450"/>
    <w:rsid w:val="0089167B"/>
    <w:rsid w:val="008929BE"/>
    <w:rsid w:val="008929DE"/>
    <w:rsid w:val="00894800"/>
    <w:rsid w:val="00897CEA"/>
    <w:rsid w:val="008A0233"/>
    <w:rsid w:val="008A06E8"/>
    <w:rsid w:val="008A1E07"/>
    <w:rsid w:val="008A4657"/>
    <w:rsid w:val="008C18EE"/>
    <w:rsid w:val="008C4F35"/>
    <w:rsid w:val="008C4FA1"/>
    <w:rsid w:val="008C5395"/>
    <w:rsid w:val="008C5DF4"/>
    <w:rsid w:val="008D61E6"/>
    <w:rsid w:val="008E2AF9"/>
    <w:rsid w:val="008E4118"/>
    <w:rsid w:val="008F3687"/>
    <w:rsid w:val="008F4CC9"/>
    <w:rsid w:val="008F5E53"/>
    <w:rsid w:val="008F75B5"/>
    <w:rsid w:val="00902ACD"/>
    <w:rsid w:val="00905B42"/>
    <w:rsid w:val="00914889"/>
    <w:rsid w:val="009160FE"/>
    <w:rsid w:val="0092170A"/>
    <w:rsid w:val="00934B5C"/>
    <w:rsid w:val="009366DF"/>
    <w:rsid w:val="00942BD0"/>
    <w:rsid w:val="009438AD"/>
    <w:rsid w:val="0095743E"/>
    <w:rsid w:val="009660FE"/>
    <w:rsid w:val="00973522"/>
    <w:rsid w:val="009773C6"/>
    <w:rsid w:val="00985684"/>
    <w:rsid w:val="0099207C"/>
    <w:rsid w:val="009962FC"/>
    <w:rsid w:val="009B0E45"/>
    <w:rsid w:val="009B4043"/>
    <w:rsid w:val="009B4464"/>
    <w:rsid w:val="009C7308"/>
    <w:rsid w:val="009C7315"/>
    <w:rsid w:val="009C79BF"/>
    <w:rsid w:val="009E460B"/>
    <w:rsid w:val="009E61DA"/>
    <w:rsid w:val="009F0B1C"/>
    <w:rsid w:val="009F21F7"/>
    <w:rsid w:val="009F6A58"/>
    <w:rsid w:val="00A00808"/>
    <w:rsid w:val="00A14BE4"/>
    <w:rsid w:val="00A1558F"/>
    <w:rsid w:val="00A2056D"/>
    <w:rsid w:val="00A464D3"/>
    <w:rsid w:val="00A630CF"/>
    <w:rsid w:val="00A635E6"/>
    <w:rsid w:val="00A657BA"/>
    <w:rsid w:val="00A6727F"/>
    <w:rsid w:val="00A80780"/>
    <w:rsid w:val="00A91788"/>
    <w:rsid w:val="00A91B0F"/>
    <w:rsid w:val="00A9258A"/>
    <w:rsid w:val="00AA03C5"/>
    <w:rsid w:val="00AB0EFF"/>
    <w:rsid w:val="00AC03D1"/>
    <w:rsid w:val="00AD3A29"/>
    <w:rsid w:val="00AE053E"/>
    <w:rsid w:val="00AE3192"/>
    <w:rsid w:val="00AE382B"/>
    <w:rsid w:val="00AE3866"/>
    <w:rsid w:val="00B01AB6"/>
    <w:rsid w:val="00B042C2"/>
    <w:rsid w:val="00B12773"/>
    <w:rsid w:val="00B2599C"/>
    <w:rsid w:val="00B25FD1"/>
    <w:rsid w:val="00B318F4"/>
    <w:rsid w:val="00B330BC"/>
    <w:rsid w:val="00B4054A"/>
    <w:rsid w:val="00B42805"/>
    <w:rsid w:val="00B52B06"/>
    <w:rsid w:val="00B61DF9"/>
    <w:rsid w:val="00B62BD2"/>
    <w:rsid w:val="00B6592E"/>
    <w:rsid w:val="00B722C9"/>
    <w:rsid w:val="00B74B88"/>
    <w:rsid w:val="00B75FB8"/>
    <w:rsid w:val="00B77F99"/>
    <w:rsid w:val="00B85660"/>
    <w:rsid w:val="00B9209F"/>
    <w:rsid w:val="00BA0AB2"/>
    <w:rsid w:val="00BA2283"/>
    <w:rsid w:val="00BB0980"/>
    <w:rsid w:val="00BB1592"/>
    <w:rsid w:val="00BB6824"/>
    <w:rsid w:val="00BC01DF"/>
    <w:rsid w:val="00BC1CEB"/>
    <w:rsid w:val="00BC3559"/>
    <w:rsid w:val="00BE0118"/>
    <w:rsid w:val="00C05E87"/>
    <w:rsid w:val="00C12159"/>
    <w:rsid w:val="00C12C42"/>
    <w:rsid w:val="00C205AA"/>
    <w:rsid w:val="00C21945"/>
    <w:rsid w:val="00C23CBC"/>
    <w:rsid w:val="00C2494F"/>
    <w:rsid w:val="00C30204"/>
    <w:rsid w:val="00C30938"/>
    <w:rsid w:val="00C30E2F"/>
    <w:rsid w:val="00C544CD"/>
    <w:rsid w:val="00C60836"/>
    <w:rsid w:val="00C60DED"/>
    <w:rsid w:val="00C6520F"/>
    <w:rsid w:val="00C65374"/>
    <w:rsid w:val="00C76D06"/>
    <w:rsid w:val="00C854CF"/>
    <w:rsid w:val="00C9426A"/>
    <w:rsid w:val="00C96F1E"/>
    <w:rsid w:val="00CA5E5B"/>
    <w:rsid w:val="00CB3AF4"/>
    <w:rsid w:val="00CB483C"/>
    <w:rsid w:val="00CC3941"/>
    <w:rsid w:val="00CC6ED7"/>
    <w:rsid w:val="00CC757F"/>
    <w:rsid w:val="00CC787D"/>
    <w:rsid w:val="00CD308A"/>
    <w:rsid w:val="00CD53D4"/>
    <w:rsid w:val="00CE38AF"/>
    <w:rsid w:val="00CF4387"/>
    <w:rsid w:val="00D0460A"/>
    <w:rsid w:val="00D11378"/>
    <w:rsid w:val="00D128E1"/>
    <w:rsid w:val="00D129AB"/>
    <w:rsid w:val="00D13F29"/>
    <w:rsid w:val="00D15E3A"/>
    <w:rsid w:val="00D22D74"/>
    <w:rsid w:val="00D25531"/>
    <w:rsid w:val="00D25F8F"/>
    <w:rsid w:val="00D40BDB"/>
    <w:rsid w:val="00D4695A"/>
    <w:rsid w:val="00D46DA8"/>
    <w:rsid w:val="00D47D32"/>
    <w:rsid w:val="00D6641D"/>
    <w:rsid w:val="00D709C6"/>
    <w:rsid w:val="00D716C4"/>
    <w:rsid w:val="00D736A6"/>
    <w:rsid w:val="00D751D1"/>
    <w:rsid w:val="00D81E42"/>
    <w:rsid w:val="00D8322C"/>
    <w:rsid w:val="00D83B3B"/>
    <w:rsid w:val="00D85404"/>
    <w:rsid w:val="00D901B3"/>
    <w:rsid w:val="00D90CF2"/>
    <w:rsid w:val="00D9637A"/>
    <w:rsid w:val="00DA3EA5"/>
    <w:rsid w:val="00DB4353"/>
    <w:rsid w:val="00DB6380"/>
    <w:rsid w:val="00DC3747"/>
    <w:rsid w:val="00DD2463"/>
    <w:rsid w:val="00DD6CCD"/>
    <w:rsid w:val="00DF2756"/>
    <w:rsid w:val="00DF5380"/>
    <w:rsid w:val="00DF57D5"/>
    <w:rsid w:val="00E11A9C"/>
    <w:rsid w:val="00E174E5"/>
    <w:rsid w:val="00E20A54"/>
    <w:rsid w:val="00E20BA6"/>
    <w:rsid w:val="00E21CA2"/>
    <w:rsid w:val="00E2384D"/>
    <w:rsid w:val="00E255E6"/>
    <w:rsid w:val="00E27550"/>
    <w:rsid w:val="00E33300"/>
    <w:rsid w:val="00E347C1"/>
    <w:rsid w:val="00E36782"/>
    <w:rsid w:val="00E45F3D"/>
    <w:rsid w:val="00E46521"/>
    <w:rsid w:val="00E53C5B"/>
    <w:rsid w:val="00E65D33"/>
    <w:rsid w:val="00E83357"/>
    <w:rsid w:val="00E83BF6"/>
    <w:rsid w:val="00E87A48"/>
    <w:rsid w:val="00E94AE9"/>
    <w:rsid w:val="00EA19D9"/>
    <w:rsid w:val="00EA311C"/>
    <w:rsid w:val="00EA7CFE"/>
    <w:rsid w:val="00EC1B59"/>
    <w:rsid w:val="00EC415F"/>
    <w:rsid w:val="00ED086A"/>
    <w:rsid w:val="00ED3EC2"/>
    <w:rsid w:val="00EE0ABB"/>
    <w:rsid w:val="00EF074C"/>
    <w:rsid w:val="00EF499F"/>
    <w:rsid w:val="00EF4ED9"/>
    <w:rsid w:val="00EF563D"/>
    <w:rsid w:val="00EF7022"/>
    <w:rsid w:val="00F011F6"/>
    <w:rsid w:val="00F075F7"/>
    <w:rsid w:val="00F07C8C"/>
    <w:rsid w:val="00F11560"/>
    <w:rsid w:val="00F31B3A"/>
    <w:rsid w:val="00F3757E"/>
    <w:rsid w:val="00F4182C"/>
    <w:rsid w:val="00F4220D"/>
    <w:rsid w:val="00F45A60"/>
    <w:rsid w:val="00F54BCE"/>
    <w:rsid w:val="00F557B1"/>
    <w:rsid w:val="00F56B96"/>
    <w:rsid w:val="00F620D3"/>
    <w:rsid w:val="00F62D2D"/>
    <w:rsid w:val="00F6788B"/>
    <w:rsid w:val="00F73CE6"/>
    <w:rsid w:val="00F76388"/>
    <w:rsid w:val="00F81291"/>
    <w:rsid w:val="00F820D1"/>
    <w:rsid w:val="00F949A9"/>
    <w:rsid w:val="00FA1025"/>
    <w:rsid w:val="00FA2AD2"/>
    <w:rsid w:val="00FA3378"/>
    <w:rsid w:val="00FA514B"/>
    <w:rsid w:val="00FA515D"/>
    <w:rsid w:val="00FC13D8"/>
    <w:rsid w:val="00FC18E0"/>
    <w:rsid w:val="00FD350A"/>
    <w:rsid w:val="00FE0547"/>
    <w:rsid w:val="00FE1EBA"/>
    <w:rsid w:val="00FE1F91"/>
    <w:rsid w:val="00FE2E16"/>
    <w:rsid w:val="00FE5CD7"/>
    <w:rsid w:val="00FE630F"/>
    <w:rsid w:val="00FE7486"/>
    <w:rsid w:val="00FF0B1C"/>
    <w:rsid w:val="00FF0DA8"/>
    <w:rsid w:val="00FF3907"/>
    <w:rsid w:val="0AA970E3"/>
    <w:rsid w:val="0E427FA6"/>
    <w:rsid w:val="10CF6156"/>
    <w:rsid w:val="10E9250C"/>
    <w:rsid w:val="13201FBB"/>
    <w:rsid w:val="132F3D03"/>
    <w:rsid w:val="144B251D"/>
    <w:rsid w:val="14D32CA5"/>
    <w:rsid w:val="159655B9"/>
    <w:rsid w:val="160A178F"/>
    <w:rsid w:val="17494845"/>
    <w:rsid w:val="18A230A3"/>
    <w:rsid w:val="18A62B93"/>
    <w:rsid w:val="198A7DBF"/>
    <w:rsid w:val="19D32F7C"/>
    <w:rsid w:val="1A314D2D"/>
    <w:rsid w:val="1ACE7ED7"/>
    <w:rsid w:val="1ADC0A95"/>
    <w:rsid w:val="1BDF7958"/>
    <w:rsid w:val="1C207CC1"/>
    <w:rsid w:val="1C935716"/>
    <w:rsid w:val="1CCE4466"/>
    <w:rsid w:val="1D18032D"/>
    <w:rsid w:val="1E7554E1"/>
    <w:rsid w:val="1ED93EF8"/>
    <w:rsid w:val="1F584208"/>
    <w:rsid w:val="1FE274A8"/>
    <w:rsid w:val="1FF1340D"/>
    <w:rsid w:val="206A0AA2"/>
    <w:rsid w:val="20A64AC0"/>
    <w:rsid w:val="21823FBD"/>
    <w:rsid w:val="21C63882"/>
    <w:rsid w:val="21EB74B9"/>
    <w:rsid w:val="24857DBE"/>
    <w:rsid w:val="24F374B5"/>
    <w:rsid w:val="277D4969"/>
    <w:rsid w:val="2A473322"/>
    <w:rsid w:val="2A8328B8"/>
    <w:rsid w:val="2BC346B8"/>
    <w:rsid w:val="2BF97EB8"/>
    <w:rsid w:val="2C593657"/>
    <w:rsid w:val="2CE41BEB"/>
    <w:rsid w:val="2EB624A8"/>
    <w:rsid w:val="2F1F4676"/>
    <w:rsid w:val="304A60A2"/>
    <w:rsid w:val="31422119"/>
    <w:rsid w:val="334F71E6"/>
    <w:rsid w:val="338B43D1"/>
    <w:rsid w:val="349E73E4"/>
    <w:rsid w:val="35066006"/>
    <w:rsid w:val="35986F3E"/>
    <w:rsid w:val="35BD04D0"/>
    <w:rsid w:val="362A7311"/>
    <w:rsid w:val="36AE4C99"/>
    <w:rsid w:val="38B90868"/>
    <w:rsid w:val="38DF1A83"/>
    <w:rsid w:val="396F1DB1"/>
    <w:rsid w:val="399D399D"/>
    <w:rsid w:val="3B76169E"/>
    <w:rsid w:val="3B862684"/>
    <w:rsid w:val="3C1A5B9F"/>
    <w:rsid w:val="3DF37300"/>
    <w:rsid w:val="3E5B6E3A"/>
    <w:rsid w:val="3E774B4E"/>
    <w:rsid w:val="3EA51121"/>
    <w:rsid w:val="3F2F6B8F"/>
    <w:rsid w:val="405C4D20"/>
    <w:rsid w:val="41BA47CA"/>
    <w:rsid w:val="42222EA6"/>
    <w:rsid w:val="436B1993"/>
    <w:rsid w:val="43E80EF7"/>
    <w:rsid w:val="44AB315B"/>
    <w:rsid w:val="472237C2"/>
    <w:rsid w:val="47CC7683"/>
    <w:rsid w:val="48CF198B"/>
    <w:rsid w:val="4B754F67"/>
    <w:rsid w:val="4D3B087E"/>
    <w:rsid w:val="4DB01324"/>
    <w:rsid w:val="4E132DE2"/>
    <w:rsid w:val="4E455429"/>
    <w:rsid w:val="4EDE18C4"/>
    <w:rsid w:val="4FD97C9D"/>
    <w:rsid w:val="508E75E5"/>
    <w:rsid w:val="508F56DF"/>
    <w:rsid w:val="50A10F71"/>
    <w:rsid w:val="515B7788"/>
    <w:rsid w:val="518213F1"/>
    <w:rsid w:val="51C31420"/>
    <w:rsid w:val="51D07E80"/>
    <w:rsid w:val="538C4870"/>
    <w:rsid w:val="549309B3"/>
    <w:rsid w:val="54F66C13"/>
    <w:rsid w:val="5511774E"/>
    <w:rsid w:val="560545FE"/>
    <w:rsid w:val="5673542B"/>
    <w:rsid w:val="59D757E3"/>
    <w:rsid w:val="5A8D559C"/>
    <w:rsid w:val="5AB9585C"/>
    <w:rsid w:val="5AE1532B"/>
    <w:rsid w:val="5B591482"/>
    <w:rsid w:val="5B6B7B2D"/>
    <w:rsid w:val="5B852DB4"/>
    <w:rsid w:val="5D3C05D0"/>
    <w:rsid w:val="5DDD4431"/>
    <w:rsid w:val="5E935F5A"/>
    <w:rsid w:val="606545FA"/>
    <w:rsid w:val="60AD0DDB"/>
    <w:rsid w:val="644658A2"/>
    <w:rsid w:val="644F0FB6"/>
    <w:rsid w:val="64864CAD"/>
    <w:rsid w:val="64AC76E3"/>
    <w:rsid w:val="67670CD8"/>
    <w:rsid w:val="67F60B3E"/>
    <w:rsid w:val="69120481"/>
    <w:rsid w:val="6AC57DFD"/>
    <w:rsid w:val="6BF66D97"/>
    <w:rsid w:val="70567B70"/>
    <w:rsid w:val="73604826"/>
    <w:rsid w:val="74445A27"/>
    <w:rsid w:val="745B40F0"/>
    <w:rsid w:val="76681A01"/>
    <w:rsid w:val="78081358"/>
    <w:rsid w:val="7AEF6F97"/>
    <w:rsid w:val="7BD76009"/>
    <w:rsid w:val="7C844082"/>
    <w:rsid w:val="7CCC5441"/>
    <w:rsid w:val="7D111839"/>
    <w:rsid w:val="7DB14637"/>
    <w:rsid w:val="7E162AE1"/>
    <w:rsid w:val="7EBE3C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pPr>
    <w:rPr>
      <w:rFonts w:ascii="Times New Roman" w:hAnsi="Times New Roman" w:eastAsia="宋体" w:cstheme="minorBidi"/>
      <w:kern w:val="2"/>
      <w:sz w:val="21"/>
      <w:szCs w:val="22"/>
      <w:lang w:val="en-US" w:eastAsia="zh-CN" w:bidi="ar-SA"/>
    </w:rPr>
  </w:style>
  <w:style w:type="paragraph" w:styleId="3">
    <w:name w:val="heading 1"/>
    <w:basedOn w:val="1"/>
    <w:next w:val="1"/>
    <w:link w:val="33"/>
    <w:qFormat/>
    <w:uiPriority w:val="9"/>
    <w:pPr>
      <w:keepNext/>
      <w:spacing w:line="0" w:lineRule="atLeast"/>
      <w:jc w:val="center"/>
      <w:outlineLvl w:val="0"/>
    </w:pPr>
    <w:rPr>
      <w:rFonts w:eastAsia="黑体" w:cs="Times New Roman"/>
      <w:bCs/>
      <w:color w:val="000000"/>
      <w:sz w:val="28"/>
      <w:szCs w:val="28"/>
    </w:rPr>
  </w:style>
  <w:style w:type="paragraph" w:styleId="4">
    <w:name w:val="heading 2"/>
    <w:basedOn w:val="1"/>
    <w:next w:val="1"/>
    <w:link w:val="34"/>
    <w:unhideWhenUsed/>
    <w:qFormat/>
    <w:uiPriority w:val="9"/>
    <w:pPr>
      <w:keepLines/>
      <w:numPr>
        <w:ilvl w:val="0"/>
        <w:numId w:val="1"/>
      </w:numPr>
      <w:spacing w:line="360" w:lineRule="auto"/>
      <w:ind w:firstLine="0"/>
      <w:outlineLvl w:val="1"/>
    </w:pPr>
    <w:rPr>
      <w:rFonts w:ascii="黑体" w:hAnsi="黑体" w:eastAsia="黑体" w:cs="黑体"/>
    </w:rPr>
  </w:style>
  <w:style w:type="paragraph" w:styleId="5">
    <w:name w:val="heading 3"/>
    <w:basedOn w:val="1"/>
    <w:next w:val="1"/>
    <w:link w:val="35"/>
    <w:unhideWhenUsed/>
    <w:qFormat/>
    <w:uiPriority w:val="9"/>
    <w:pPr>
      <w:keepLines/>
      <w:numPr>
        <w:ilvl w:val="1"/>
        <w:numId w:val="2"/>
      </w:numPr>
      <w:spacing w:line="360" w:lineRule="auto"/>
      <w:outlineLvl w:val="2"/>
    </w:pPr>
    <w:rPr>
      <w:rFonts w:eastAsia="黑体" w:cs="Times New Roman"/>
      <w:bCs/>
      <w:color w:val="000000"/>
      <w:szCs w:val="32"/>
    </w:rPr>
  </w:style>
  <w:style w:type="paragraph" w:styleId="6">
    <w:name w:val="heading 4"/>
    <w:basedOn w:val="1"/>
    <w:next w:val="1"/>
    <w:link w:val="36"/>
    <w:unhideWhenUsed/>
    <w:qFormat/>
    <w:uiPriority w:val="9"/>
    <w:pPr>
      <w:keepNext/>
      <w:keepLines/>
      <w:spacing w:line="360" w:lineRule="auto"/>
      <w:outlineLvl w:val="3"/>
    </w:pPr>
    <w:rPr>
      <w:rFonts w:eastAsia="黑体" w:cs="黑体"/>
      <w:color w:val="000000" w:themeColor="text1"/>
      <w:szCs w:val="18"/>
      <w14:textFill>
        <w14:solidFill>
          <w14:schemeClr w14:val="tx1"/>
        </w14:solidFill>
      </w14:textFill>
    </w:rPr>
  </w:style>
  <w:style w:type="paragraph" w:styleId="7">
    <w:name w:val="heading 5"/>
    <w:basedOn w:val="1"/>
    <w:next w:val="1"/>
    <w:link w:val="37"/>
    <w:unhideWhenUsed/>
    <w:qFormat/>
    <w:uiPriority w:val="9"/>
    <w:pPr>
      <w:keepNext/>
      <w:keepLines/>
      <w:spacing w:before="280" w:after="290" w:line="376" w:lineRule="auto"/>
      <w:outlineLvl w:val="4"/>
    </w:pPr>
    <w:rPr>
      <w:b/>
      <w:bCs/>
      <w:sz w:val="28"/>
      <w:szCs w:val="28"/>
    </w:rPr>
  </w:style>
  <w:style w:type="character" w:default="1" w:styleId="27">
    <w:name w:val="Default Paragraph Font"/>
    <w:semiHidden/>
    <w:unhideWhenUsed/>
    <w:uiPriority w:val="1"/>
  </w:style>
  <w:style w:type="table" w:default="1" w:styleId="25">
    <w:name w:val="Normal Table"/>
    <w:semiHidden/>
    <w:unhideWhenUsed/>
    <w:uiPriority w:val="99"/>
    <w:tblPr>
      <w:tblCellMar>
        <w:top w:w="0" w:type="dxa"/>
        <w:left w:w="108" w:type="dxa"/>
        <w:bottom w:w="0" w:type="dxa"/>
        <w:right w:w="108" w:type="dxa"/>
      </w:tblCellMar>
    </w:tblPr>
  </w:style>
  <w:style w:type="paragraph" w:styleId="2">
    <w:name w:val="Plain Text"/>
    <w:basedOn w:val="1"/>
    <w:link w:val="71"/>
    <w:qFormat/>
    <w:uiPriority w:val="0"/>
    <w:rPr>
      <w:rFonts w:ascii="宋体" w:hAnsi="Courier New"/>
    </w:rPr>
  </w:style>
  <w:style w:type="paragraph" w:styleId="8">
    <w:name w:val="List 3"/>
    <w:basedOn w:val="1"/>
    <w:qFormat/>
    <w:uiPriority w:val="0"/>
    <w:pPr>
      <w:adjustRightInd w:val="0"/>
      <w:snapToGrid w:val="0"/>
      <w:spacing w:before="31" w:beforeLines="10" w:after="31" w:afterLines="10"/>
      <w:jc w:val="center"/>
    </w:pPr>
    <w:rPr>
      <w:rFonts w:ascii="宋体" w:hAnsi="宋体"/>
      <w:snapToGrid w:val="0"/>
      <w:kern w:val="0"/>
      <w:szCs w:val="20"/>
    </w:rPr>
  </w:style>
  <w:style w:type="paragraph" w:styleId="9">
    <w:name w:val="Note Heading"/>
    <w:basedOn w:val="1"/>
    <w:next w:val="1"/>
    <w:qFormat/>
    <w:uiPriority w:val="0"/>
    <w:pPr>
      <w:jc w:val="center"/>
    </w:pPr>
  </w:style>
  <w:style w:type="paragraph" w:styleId="10">
    <w:name w:val="Normal Indent"/>
    <w:basedOn w:val="1"/>
    <w:next w:val="11"/>
    <w:qFormat/>
    <w:uiPriority w:val="0"/>
    <w:pPr>
      <w:adjustRightInd w:val="0"/>
      <w:spacing w:line="312" w:lineRule="atLeast"/>
      <w:ind w:firstLine="420"/>
      <w:textAlignment w:val="baseline"/>
    </w:pPr>
    <w:rPr>
      <w:rFonts w:ascii="宋体"/>
      <w:kern w:val="0"/>
      <w:szCs w:val="21"/>
    </w:rPr>
  </w:style>
  <w:style w:type="paragraph" w:styleId="11">
    <w:name w:val="Body Text First Indent 2"/>
    <w:basedOn w:val="6"/>
    <w:qFormat/>
    <w:uiPriority w:val="0"/>
    <w:pPr>
      <w:ind w:firstLine="420" w:firstLineChars="200"/>
    </w:pPr>
  </w:style>
  <w:style w:type="paragraph" w:styleId="12">
    <w:name w:val="caption"/>
    <w:basedOn w:val="1"/>
    <w:next w:val="1"/>
    <w:qFormat/>
    <w:uiPriority w:val="0"/>
    <w:rPr>
      <w:rFonts w:eastAsia="黑体" w:cs="Arial"/>
      <w:sz w:val="18"/>
      <w:szCs w:val="20"/>
    </w:rPr>
  </w:style>
  <w:style w:type="paragraph" w:styleId="13">
    <w:name w:val="Document Map"/>
    <w:basedOn w:val="1"/>
    <w:link w:val="40"/>
    <w:semiHidden/>
    <w:unhideWhenUsed/>
    <w:qFormat/>
    <w:uiPriority w:val="99"/>
    <w:rPr>
      <w:rFonts w:ascii="Microsoft YaHei UI" w:eastAsia="Microsoft YaHei UI"/>
      <w:sz w:val="18"/>
      <w:szCs w:val="18"/>
    </w:rPr>
  </w:style>
  <w:style w:type="paragraph" w:styleId="14">
    <w:name w:val="annotation text"/>
    <w:basedOn w:val="1"/>
    <w:link w:val="41"/>
    <w:semiHidden/>
    <w:qFormat/>
    <w:uiPriority w:val="0"/>
    <w:rPr>
      <w:szCs w:val="24"/>
    </w:rPr>
  </w:style>
  <w:style w:type="paragraph" w:styleId="15">
    <w:name w:val="Body Text Indent"/>
    <w:basedOn w:val="1"/>
    <w:link w:val="39"/>
    <w:semiHidden/>
    <w:qFormat/>
    <w:uiPriority w:val="0"/>
    <w:pPr>
      <w:spacing w:after="120"/>
      <w:ind w:left="420" w:leftChars="200"/>
    </w:pPr>
  </w:style>
  <w:style w:type="paragraph" w:styleId="16">
    <w:name w:val="Body Text Indent 2"/>
    <w:basedOn w:val="1"/>
    <w:qFormat/>
    <w:uiPriority w:val="0"/>
    <w:pPr>
      <w:spacing w:line="312" w:lineRule="auto"/>
      <w:ind w:firstLine="480"/>
    </w:pPr>
    <w:rPr>
      <w:rFonts w:ascii="宋体"/>
      <w:sz w:val="24"/>
      <w:szCs w:val="20"/>
    </w:rPr>
  </w:style>
  <w:style w:type="paragraph" w:styleId="17">
    <w:name w:val="Balloon Text"/>
    <w:basedOn w:val="1"/>
    <w:link w:val="42"/>
    <w:semiHidden/>
    <w:unhideWhenUsed/>
    <w:qFormat/>
    <w:uiPriority w:val="99"/>
    <w:rPr>
      <w:sz w:val="18"/>
      <w:szCs w:val="18"/>
    </w:rPr>
  </w:style>
  <w:style w:type="paragraph" w:styleId="18">
    <w:name w:val="footer"/>
    <w:basedOn w:val="1"/>
    <w:link w:val="43"/>
    <w:unhideWhenUsed/>
    <w:qFormat/>
    <w:uiPriority w:val="99"/>
    <w:pPr>
      <w:tabs>
        <w:tab w:val="center" w:pos="4153"/>
        <w:tab w:val="right" w:pos="8306"/>
      </w:tabs>
      <w:snapToGrid w:val="0"/>
    </w:pPr>
    <w:rPr>
      <w:sz w:val="18"/>
      <w:szCs w:val="18"/>
    </w:rPr>
  </w:style>
  <w:style w:type="paragraph" w:styleId="19">
    <w:name w:val="header"/>
    <w:basedOn w:val="1"/>
    <w:link w:val="44"/>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pPr>
      <w:tabs>
        <w:tab w:val="right" w:leader="dot" w:pos="9060"/>
      </w:tabs>
      <w:spacing w:line="360" w:lineRule="auto"/>
    </w:pPr>
    <w:rPr>
      <w:sz w:val="24"/>
      <w:szCs w:val="21"/>
    </w:rPr>
  </w:style>
  <w:style w:type="paragraph" w:styleId="21">
    <w:name w:val="Normal (Web)"/>
    <w:basedOn w:val="1"/>
    <w:link w:val="72"/>
    <w:qFormat/>
    <w:uiPriority w:val="0"/>
    <w:pPr>
      <w:widowControl/>
      <w:spacing w:before="100" w:beforeAutospacing="1" w:after="100" w:afterAutospacing="1"/>
    </w:pPr>
    <w:rPr>
      <w:rFonts w:ascii="宋体" w:hAnsi="宋体"/>
      <w:kern w:val="0"/>
      <w:sz w:val="24"/>
    </w:rPr>
  </w:style>
  <w:style w:type="paragraph" w:styleId="22">
    <w:name w:val="Title"/>
    <w:basedOn w:val="1"/>
    <w:next w:val="1"/>
    <w:link w:val="45"/>
    <w:qFormat/>
    <w:uiPriority w:val="10"/>
    <w:pPr>
      <w:spacing w:before="468" w:beforeLines="150" w:after="468" w:afterLines="150" w:line="360" w:lineRule="auto"/>
      <w:jc w:val="center"/>
    </w:pPr>
    <w:rPr>
      <w:rFonts w:ascii="黑体" w:hAnsi="黑体" w:eastAsia="黑体"/>
      <w:sz w:val="72"/>
      <w:szCs w:val="21"/>
    </w:rPr>
  </w:style>
  <w:style w:type="paragraph" w:styleId="23">
    <w:name w:val="annotation subject"/>
    <w:basedOn w:val="14"/>
    <w:next w:val="14"/>
    <w:link w:val="46"/>
    <w:semiHidden/>
    <w:unhideWhenUsed/>
    <w:qFormat/>
    <w:uiPriority w:val="99"/>
    <w:rPr>
      <w:b/>
      <w:bCs/>
      <w:szCs w:val="21"/>
    </w:rPr>
  </w:style>
  <w:style w:type="paragraph" w:styleId="24">
    <w:name w:val="Body Text First Indent"/>
    <w:basedOn w:val="1"/>
    <w:link w:val="38"/>
    <w:qFormat/>
    <w:uiPriority w:val="0"/>
    <w:pPr>
      <w:spacing w:line="360" w:lineRule="auto"/>
      <w:ind w:firstLine="200" w:firstLineChars="200"/>
    </w:pPr>
  </w:style>
  <w:style w:type="table" w:styleId="26">
    <w:name w:val="Table Grid"/>
    <w:basedOn w:val="25"/>
    <w:qFormat/>
    <w:uiPriority w:val="39"/>
    <w:rPr>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Hyperlink"/>
    <w:basedOn w:val="27"/>
    <w:unhideWhenUsed/>
    <w:qFormat/>
    <w:uiPriority w:val="99"/>
    <w:rPr>
      <w:color w:val="0563C1" w:themeColor="hyperlink"/>
      <w:u w:val="single"/>
      <w14:textFill>
        <w14:solidFill>
          <w14:schemeClr w14:val="hlink"/>
        </w14:solidFill>
      </w14:textFill>
    </w:rPr>
  </w:style>
  <w:style w:type="character" w:styleId="29">
    <w:name w:val="annotation reference"/>
    <w:qFormat/>
    <w:uiPriority w:val="0"/>
    <w:rPr>
      <w:sz w:val="21"/>
      <w:szCs w:val="21"/>
    </w:rPr>
  </w:style>
  <w:style w:type="paragraph" w:customStyle="1" w:styleId="30">
    <w:name w:val="Default"/>
    <w:basedOn w:val="31"/>
    <w:next w:val="1"/>
    <w:qFormat/>
    <w:uiPriority w:val="0"/>
    <w:pPr>
      <w:autoSpaceDE w:val="0"/>
      <w:autoSpaceDN w:val="0"/>
    </w:pPr>
    <w:rPr>
      <w:rFonts w:hAnsi="Times New Roman"/>
      <w:color w:val="000000"/>
      <w:szCs w:val="24"/>
    </w:rPr>
  </w:style>
  <w:style w:type="paragraph" w:customStyle="1" w:styleId="31">
    <w:name w:val="纯文本1"/>
    <w:basedOn w:val="1"/>
    <w:qFormat/>
    <w:uiPriority w:val="0"/>
    <w:rPr>
      <w:rFonts w:hAnsi="Courier New"/>
      <w:szCs w:val="20"/>
    </w:rPr>
  </w:style>
  <w:style w:type="paragraph" w:styleId="32">
    <w:name w:val="List Paragraph"/>
    <w:basedOn w:val="1"/>
    <w:qFormat/>
    <w:uiPriority w:val="34"/>
    <w:pPr>
      <w:ind w:firstLine="420" w:firstLineChars="200"/>
    </w:pPr>
  </w:style>
  <w:style w:type="character" w:customStyle="1" w:styleId="33">
    <w:name w:val="标题 1 字符"/>
    <w:basedOn w:val="27"/>
    <w:link w:val="3"/>
    <w:qFormat/>
    <w:uiPriority w:val="9"/>
    <w:rPr>
      <w:rFonts w:eastAsia="黑体"/>
      <w:bCs/>
      <w:color w:val="000000"/>
      <w:kern w:val="2"/>
      <w:sz w:val="28"/>
      <w:szCs w:val="28"/>
    </w:rPr>
  </w:style>
  <w:style w:type="character" w:customStyle="1" w:styleId="34">
    <w:name w:val="标题 2 字符"/>
    <w:basedOn w:val="27"/>
    <w:link w:val="4"/>
    <w:qFormat/>
    <w:uiPriority w:val="9"/>
    <w:rPr>
      <w:rFonts w:ascii="黑体" w:hAnsi="黑体" w:eastAsia="黑体" w:cs="黑体"/>
      <w:kern w:val="2"/>
      <w:sz w:val="21"/>
      <w:szCs w:val="22"/>
    </w:rPr>
  </w:style>
  <w:style w:type="character" w:customStyle="1" w:styleId="35">
    <w:name w:val="标题 3 字符"/>
    <w:basedOn w:val="27"/>
    <w:link w:val="5"/>
    <w:qFormat/>
    <w:uiPriority w:val="9"/>
    <w:rPr>
      <w:rFonts w:eastAsia="黑体"/>
      <w:bCs/>
      <w:color w:val="000000"/>
      <w:kern w:val="2"/>
      <w:sz w:val="21"/>
      <w:szCs w:val="32"/>
    </w:rPr>
  </w:style>
  <w:style w:type="character" w:customStyle="1" w:styleId="36">
    <w:name w:val="标题 4 字符"/>
    <w:basedOn w:val="27"/>
    <w:link w:val="6"/>
    <w:qFormat/>
    <w:uiPriority w:val="9"/>
    <w:rPr>
      <w:rFonts w:ascii="Times New Roman" w:hAnsi="Times New Roman" w:eastAsia="黑体" w:cs="黑体"/>
      <w:color w:val="000000" w:themeColor="text1"/>
      <w:sz w:val="21"/>
      <w:szCs w:val="18"/>
      <w14:textFill>
        <w14:solidFill>
          <w14:schemeClr w14:val="tx1"/>
        </w14:solidFill>
      </w14:textFill>
    </w:rPr>
  </w:style>
  <w:style w:type="character" w:customStyle="1" w:styleId="37">
    <w:name w:val="标题 5 字符"/>
    <w:basedOn w:val="27"/>
    <w:link w:val="7"/>
    <w:qFormat/>
    <w:uiPriority w:val="9"/>
    <w:rPr>
      <w:rFonts w:ascii="Times New Roman" w:hAnsi="Times New Roman" w:eastAsia="宋体"/>
      <w:b/>
      <w:bCs/>
      <w:sz w:val="28"/>
      <w:szCs w:val="28"/>
    </w:rPr>
  </w:style>
  <w:style w:type="character" w:customStyle="1" w:styleId="38">
    <w:name w:val="正文文本首行缩进 字符"/>
    <w:basedOn w:val="27"/>
    <w:link w:val="24"/>
    <w:qFormat/>
    <w:uiPriority w:val="0"/>
    <w:rPr>
      <w:rFonts w:cstheme="minorBidi"/>
      <w:kern w:val="2"/>
      <w:sz w:val="21"/>
      <w:szCs w:val="22"/>
    </w:rPr>
  </w:style>
  <w:style w:type="character" w:customStyle="1" w:styleId="39">
    <w:name w:val="正文文本缩进 字符"/>
    <w:basedOn w:val="27"/>
    <w:link w:val="15"/>
    <w:semiHidden/>
    <w:qFormat/>
    <w:uiPriority w:val="0"/>
    <w:rPr>
      <w:rFonts w:asciiTheme="minorHAnsi" w:hAnsiTheme="minorHAnsi" w:eastAsiaTheme="minorEastAsia" w:cstheme="minorBidi"/>
      <w:kern w:val="2"/>
      <w:sz w:val="21"/>
      <w:szCs w:val="22"/>
    </w:rPr>
  </w:style>
  <w:style w:type="character" w:customStyle="1" w:styleId="40">
    <w:name w:val="文档结构图 字符"/>
    <w:basedOn w:val="27"/>
    <w:link w:val="13"/>
    <w:semiHidden/>
    <w:qFormat/>
    <w:uiPriority w:val="99"/>
    <w:rPr>
      <w:rFonts w:ascii="Microsoft YaHei UI" w:hAnsi="Times New Roman" w:eastAsia="Microsoft YaHei UI"/>
      <w:sz w:val="18"/>
      <w:szCs w:val="18"/>
    </w:rPr>
  </w:style>
  <w:style w:type="character" w:customStyle="1" w:styleId="41">
    <w:name w:val="批注文字 字符"/>
    <w:link w:val="14"/>
    <w:semiHidden/>
    <w:qFormat/>
    <w:uiPriority w:val="0"/>
    <w:rPr>
      <w:szCs w:val="24"/>
    </w:rPr>
  </w:style>
  <w:style w:type="character" w:customStyle="1" w:styleId="42">
    <w:name w:val="批注框文本 字符"/>
    <w:basedOn w:val="27"/>
    <w:link w:val="17"/>
    <w:semiHidden/>
    <w:qFormat/>
    <w:uiPriority w:val="99"/>
    <w:rPr>
      <w:rFonts w:ascii="Times New Roman" w:hAnsi="Times New Roman" w:eastAsia="宋体"/>
      <w:sz w:val="18"/>
      <w:szCs w:val="18"/>
    </w:rPr>
  </w:style>
  <w:style w:type="character" w:customStyle="1" w:styleId="43">
    <w:name w:val="页脚 字符"/>
    <w:basedOn w:val="27"/>
    <w:link w:val="18"/>
    <w:qFormat/>
    <w:uiPriority w:val="99"/>
    <w:rPr>
      <w:sz w:val="18"/>
      <w:szCs w:val="18"/>
    </w:rPr>
  </w:style>
  <w:style w:type="character" w:customStyle="1" w:styleId="44">
    <w:name w:val="页眉 字符"/>
    <w:basedOn w:val="27"/>
    <w:link w:val="19"/>
    <w:qFormat/>
    <w:uiPriority w:val="99"/>
    <w:rPr>
      <w:sz w:val="18"/>
      <w:szCs w:val="18"/>
    </w:rPr>
  </w:style>
  <w:style w:type="character" w:customStyle="1" w:styleId="45">
    <w:name w:val="标题 字符"/>
    <w:basedOn w:val="27"/>
    <w:link w:val="22"/>
    <w:qFormat/>
    <w:uiPriority w:val="10"/>
    <w:rPr>
      <w:rFonts w:ascii="黑体" w:hAnsi="黑体" w:eastAsia="黑体"/>
      <w:sz w:val="72"/>
      <w:szCs w:val="21"/>
    </w:rPr>
  </w:style>
  <w:style w:type="character" w:customStyle="1" w:styleId="46">
    <w:name w:val="批注主题 字符"/>
    <w:basedOn w:val="47"/>
    <w:link w:val="23"/>
    <w:semiHidden/>
    <w:qFormat/>
    <w:uiPriority w:val="99"/>
    <w:rPr>
      <w:b/>
      <w:bCs/>
      <w:szCs w:val="21"/>
    </w:rPr>
  </w:style>
  <w:style w:type="character" w:customStyle="1" w:styleId="47">
    <w:name w:val="批注文字 字符1"/>
    <w:basedOn w:val="27"/>
    <w:semiHidden/>
    <w:qFormat/>
    <w:uiPriority w:val="99"/>
  </w:style>
  <w:style w:type="table" w:customStyle="1" w:styleId="48">
    <w:name w:val="嵌套表格"/>
    <w:basedOn w:val="25"/>
    <w:qFormat/>
    <w:uiPriority w:val="99"/>
    <w:pPr>
      <w:jc w:val="center"/>
    </w:pPr>
    <w:tblP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
    <w:tcPr>
      <w:tcMar>
        <w:left w:w="28" w:type="dxa"/>
        <w:right w:w="28" w:type="dxa"/>
      </w:tcMar>
      <w:vAlign w:val="center"/>
    </w:tcPr>
  </w:style>
  <w:style w:type="table" w:customStyle="1" w:styleId="49">
    <w:name w:val="环评表格样式"/>
    <w:basedOn w:val="25"/>
    <w:qFormat/>
    <w:uiPriority w:val="99"/>
    <w:pPr>
      <w:jc w:val="center"/>
    </w:pPr>
    <w:rPr>
      <w:sz w:val="18"/>
      <w:szCs w:val="21"/>
    </w:rPr>
    <w:tblP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
    <w:tcPr>
      <w:tcMar>
        <w:left w:w="28" w:type="dxa"/>
        <w:right w:w="28" w:type="dxa"/>
      </w:tcMar>
      <w:vAlign w:val="center"/>
    </w:tcPr>
  </w:style>
  <w:style w:type="table" w:customStyle="1" w:styleId="50">
    <w:name w:val="环评表格样式1"/>
    <w:basedOn w:val="25"/>
    <w:qFormat/>
    <w:uiPriority w:val="99"/>
    <w:pPr>
      <w:jc w:val="center"/>
    </w:pPr>
    <w:rPr>
      <w:sz w:val="18"/>
      <w:szCs w:val="21"/>
    </w:rPr>
    <w:tblP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
    <w:tcPr>
      <w:tcMar>
        <w:left w:w="28" w:type="dxa"/>
        <w:right w:w="28" w:type="dxa"/>
      </w:tcMar>
      <w:vAlign w:val="center"/>
    </w:tcPr>
  </w:style>
  <w:style w:type="table" w:customStyle="1" w:styleId="51">
    <w:name w:val="环评表格样式2"/>
    <w:basedOn w:val="25"/>
    <w:qFormat/>
    <w:uiPriority w:val="99"/>
    <w:pPr>
      <w:jc w:val="center"/>
    </w:pPr>
    <w:rPr>
      <w:sz w:val="18"/>
      <w:szCs w:val="21"/>
    </w:rPr>
    <w:tblP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
    <w:tcPr>
      <w:tcMar>
        <w:left w:w="28" w:type="dxa"/>
        <w:right w:w="28" w:type="dxa"/>
      </w:tcMar>
      <w:vAlign w:val="center"/>
    </w:tcPr>
  </w:style>
  <w:style w:type="table" w:customStyle="1" w:styleId="52">
    <w:name w:val="环评表格样式3"/>
    <w:basedOn w:val="25"/>
    <w:qFormat/>
    <w:uiPriority w:val="99"/>
    <w:pPr>
      <w:jc w:val="center"/>
    </w:pPr>
    <w:rPr>
      <w:sz w:val="18"/>
      <w:szCs w:val="21"/>
    </w:rPr>
    <w:tblP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
    <w:tcPr>
      <w:tcMar>
        <w:left w:w="28" w:type="dxa"/>
        <w:right w:w="28" w:type="dxa"/>
      </w:tcMar>
      <w:vAlign w:val="center"/>
    </w:tcPr>
  </w:style>
  <w:style w:type="paragraph" w:customStyle="1" w:styleId="53">
    <w:name w:val="表名 图名"/>
    <w:basedOn w:val="1"/>
    <w:next w:val="1"/>
    <w:link w:val="54"/>
    <w:qFormat/>
    <w:uiPriority w:val="0"/>
    <w:pPr>
      <w:jc w:val="center"/>
    </w:pPr>
    <w:rPr>
      <w:rFonts w:eastAsia="黑体" w:cs="Times New Roman"/>
      <w:sz w:val="18"/>
      <w:szCs w:val="21"/>
    </w:rPr>
  </w:style>
  <w:style w:type="character" w:customStyle="1" w:styleId="54">
    <w:name w:val="表名 图名 Char Char"/>
    <w:link w:val="53"/>
    <w:qFormat/>
    <w:uiPriority w:val="0"/>
    <w:rPr>
      <w:rFonts w:ascii="Times New Roman" w:hAnsi="Times New Roman" w:eastAsia="黑体" w:cs="Times New Roman"/>
      <w:sz w:val="18"/>
      <w:szCs w:val="21"/>
    </w:rPr>
  </w:style>
  <w:style w:type="table" w:customStyle="1" w:styleId="55">
    <w:name w:val="表格-ju样式"/>
    <w:basedOn w:val="25"/>
    <w:qFormat/>
    <w:uiPriority w:val="99"/>
    <w:pPr>
      <w:jc w:val="both"/>
    </w:pPr>
    <w:rPr>
      <w:szCs w:val="21"/>
    </w:rPr>
    <w:tblPr>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left w:w="28" w:type="dxa"/>
        <w:right w:w="28" w:type="dxa"/>
      </w:tblCellMar>
    </w:tblPr>
    <w:trPr>
      <w:jc w:val="center"/>
    </w:trPr>
    <w:tcPr>
      <w:vAlign w:val="center"/>
    </w:tcPr>
  </w:style>
  <w:style w:type="table" w:customStyle="1" w:styleId="56">
    <w:name w:val="嵌套表格1"/>
    <w:basedOn w:val="25"/>
    <w:qFormat/>
    <w:uiPriority w:val="99"/>
    <w:pPr>
      <w:jc w:val="center"/>
    </w:pPr>
    <w:tblP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
    <w:tcPr>
      <w:tcMar>
        <w:left w:w="28" w:type="dxa"/>
        <w:right w:w="28" w:type="dxa"/>
      </w:tcMar>
      <w:vAlign w:val="center"/>
    </w:tcPr>
  </w:style>
  <w:style w:type="character" w:customStyle="1" w:styleId="57">
    <w:name w:val="纯文本 字符1"/>
    <w:basedOn w:val="27"/>
    <w:semiHidden/>
    <w:qFormat/>
    <w:uiPriority w:val="99"/>
    <w:rPr>
      <w:rFonts w:ascii="等线" w:hAnsi="Courier New" w:cs="Courier New"/>
    </w:rPr>
  </w:style>
  <w:style w:type="character" w:customStyle="1" w:styleId="58">
    <w:name w:val="超链接1"/>
    <w:basedOn w:val="27"/>
    <w:unhideWhenUsed/>
    <w:qFormat/>
    <w:uiPriority w:val="99"/>
    <w:rPr>
      <w:color w:val="0563C1"/>
      <w:u w:val="single"/>
    </w:rPr>
  </w:style>
  <w:style w:type="table" w:customStyle="1" w:styleId="59">
    <w:name w:val="环评表格样式4"/>
    <w:basedOn w:val="25"/>
    <w:qFormat/>
    <w:uiPriority w:val="99"/>
    <w:pPr>
      <w:jc w:val="center"/>
    </w:pPr>
    <w:rPr>
      <w:sz w:val="18"/>
      <w:szCs w:val="21"/>
    </w:rPr>
    <w:tblP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
    <w:tcPr>
      <w:tcMar>
        <w:left w:w="28" w:type="dxa"/>
        <w:right w:w="28" w:type="dxa"/>
      </w:tcMar>
      <w:vAlign w:val="center"/>
    </w:tcPr>
  </w:style>
  <w:style w:type="paragraph" w:customStyle="1" w:styleId="60">
    <w:name w:val="修订1"/>
    <w:hidden/>
    <w:semiHidden/>
    <w:qFormat/>
    <w:uiPriority w:val="99"/>
    <w:rPr>
      <w:rFonts w:ascii="Times New Roman" w:hAnsi="Times New Roman" w:eastAsia="宋体" w:cstheme="minorBidi"/>
      <w:kern w:val="2"/>
      <w:sz w:val="21"/>
      <w:szCs w:val="21"/>
      <w:lang w:val="en-US" w:eastAsia="zh-CN" w:bidi="ar-SA"/>
    </w:rPr>
  </w:style>
  <w:style w:type="table" w:customStyle="1" w:styleId="61">
    <w:name w:val="表格-ju样式1"/>
    <w:basedOn w:val="25"/>
    <w:qFormat/>
    <w:uiPriority w:val="99"/>
    <w:pPr>
      <w:jc w:val="both"/>
    </w:pPr>
    <w:rPr>
      <w:szCs w:val="21"/>
    </w:rPr>
    <w:tblPr>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left w:w="28" w:type="dxa"/>
        <w:right w:w="28" w:type="dxa"/>
      </w:tblCellMar>
    </w:tblPr>
    <w:trPr>
      <w:jc w:val="center"/>
    </w:trPr>
    <w:tcPr>
      <w:vAlign w:val="center"/>
    </w:tcPr>
  </w:style>
  <w:style w:type="paragraph" w:customStyle="1" w:styleId="62">
    <w:name w:val="报告正文"/>
    <w:qFormat/>
    <w:uiPriority w:val="0"/>
    <w:pPr>
      <w:spacing w:line="360" w:lineRule="auto"/>
      <w:ind w:firstLine="200" w:firstLineChars="200"/>
    </w:pPr>
    <w:rPr>
      <w:rFonts w:ascii="Times New Roman" w:hAnsi="Times New Roman" w:eastAsia="宋体" w:cs="Times New Roman"/>
      <w:snapToGrid w:val="0"/>
      <w:kern w:val="2"/>
      <w:sz w:val="24"/>
      <w:lang w:val="en-US" w:eastAsia="zh-CN" w:bidi="ar-SA"/>
    </w:rPr>
  </w:style>
  <w:style w:type="paragraph" w:customStyle="1" w:styleId="63">
    <w:name w:val="d表名"/>
    <w:next w:val="1"/>
    <w:qFormat/>
    <w:uiPriority w:val="0"/>
    <w:pPr>
      <w:spacing w:line="360" w:lineRule="auto"/>
      <w:jc w:val="center"/>
    </w:pPr>
    <w:rPr>
      <w:rFonts w:ascii="Times New Roman" w:hAnsi="Times New Roman" w:eastAsia="黑体" w:cs="Times New Roman"/>
      <w:sz w:val="24"/>
      <w:szCs w:val="24"/>
      <w:lang w:val="en-US" w:eastAsia="zh-CN" w:bidi="ar-SA"/>
    </w:rPr>
  </w:style>
  <w:style w:type="paragraph" w:customStyle="1" w:styleId="64">
    <w:name w:val="d表头"/>
    <w:next w:val="1"/>
    <w:qFormat/>
    <w:uiPriority w:val="0"/>
    <w:pPr>
      <w:ind w:firstLine="200" w:firstLineChars="200"/>
    </w:pPr>
    <w:rPr>
      <w:rFonts w:ascii="Times New Roman" w:hAnsi="Times New Roman" w:eastAsia="宋体" w:cs="Times New Roman"/>
      <w:sz w:val="21"/>
      <w:szCs w:val="21"/>
      <w:lang w:val="en-US" w:eastAsia="zh-CN" w:bidi="ar-SA"/>
    </w:rPr>
  </w:style>
  <w:style w:type="paragraph" w:customStyle="1" w:styleId="65">
    <w:name w:val="d表格-单倍行距"/>
    <w:qFormat/>
    <w:uiPriority w:val="0"/>
    <w:pPr>
      <w:jc w:val="center"/>
    </w:pPr>
    <w:rPr>
      <w:rFonts w:ascii="Times New Roman" w:hAnsi="Times New Roman" w:eastAsia="宋体" w:cs="Times New Roman"/>
      <w:sz w:val="21"/>
      <w:szCs w:val="21"/>
      <w:lang w:val="en-US" w:eastAsia="zh-CN" w:bidi="ar-SA"/>
    </w:rPr>
  </w:style>
  <w:style w:type="paragraph" w:customStyle="1" w:styleId="66">
    <w:name w:val="修订2"/>
    <w:hidden/>
    <w:semiHidden/>
    <w:qFormat/>
    <w:uiPriority w:val="99"/>
    <w:rPr>
      <w:rFonts w:ascii="Times New Roman" w:hAnsi="Times New Roman" w:eastAsia="宋体" w:cstheme="minorBidi"/>
      <w:kern w:val="2"/>
      <w:sz w:val="21"/>
      <w:szCs w:val="22"/>
      <w:lang w:val="en-US" w:eastAsia="zh-CN" w:bidi="ar-SA"/>
    </w:rPr>
  </w:style>
  <w:style w:type="paragraph" w:customStyle="1" w:styleId="67">
    <w:name w:val="Char4 Char Char Char Char Char Char1"/>
    <w:basedOn w:val="1"/>
    <w:qFormat/>
    <w:uiPriority w:val="0"/>
    <w:pPr>
      <w:jc w:val="center"/>
    </w:pPr>
    <w:rPr>
      <w:rFonts w:eastAsia="黑体"/>
      <w:snapToGrid w:val="0"/>
      <w:sz w:val="24"/>
    </w:rPr>
  </w:style>
  <w:style w:type="paragraph" w:customStyle="1" w:styleId="68">
    <w:name w:val="表头"/>
    <w:basedOn w:val="69"/>
    <w:next w:val="70"/>
    <w:qFormat/>
    <w:uiPriority w:val="0"/>
    <w:pPr>
      <w:framePr w:hSpace="180" w:wrap="around" w:vAnchor="text" w:hAnchor="margin" w:xAlign="center" w:y="159"/>
    </w:pPr>
    <w:rPr>
      <w:rFonts w:ascii="Times New Roman" w:hAnsi="Times New Roman" w:eastAsia="宋体"/>
    </w:rPr>
  </w:style>
  <w:style w:type="paragraph" w:customStyle="1" w:styleId="69">
    <w:name w:val="表名"/>
    <w:basedOn w:val="1"/>
    <w:qFormat/>
    <w:uiPriority w:val="0"/>
    <w:pPr>
      <w:jc w:val="center"/>
    </w:pPr>
    <w:rPr>
      <w:rFonts w:ascii="黑体" w:hAnsi="黑体" w:eastAsia="黑体"/>
    </w:rPr>
  </w:style>
  <w:style w:type="paragraph" w:customStyle="1" w:styleId="70">
    <w:name w:val="表格"/>
    <w:basedOn w:val="1"/>
    <w:qFormat/>
    <w:uiPriority w:val="0"/>
  </w:style>
  <w:style w:type="character" w:customStyle="1" w:styleId="71">
    <w:name w:val="纯文本 字符"/>
    <w:link w:val="2"/>
    <w:qFormat/>
    <w:uiPriority w:val="0"/>
    <w:rPr>
      <w:rFonts w:ascii="宋体" w:hAnsi="Courier New" w:cstheme="minorBidi"/>
      <w:kern w:val="2"/>
      <w:sz w:val="21"/>
      <w:szCs w:val="22"/>
    </w:rPr>
  </w:style>
  <w:style w:type="character" w:customStyle="1" w:styleId="72">
    <w:name w:val="普通(网站) 字符"/>
    <w:link w:val="21"/>
    <w:qFormat/>
    <w:locked/>
    <w:uiPriority w:val="0"/>
    <w:rPr>
      <w:rFonts w:ascii="宋体" w:hAnsi="宋体" w:cstheme="minorBidi"/>
      <w:sz w:val="24"/>
      <w:szCs w:val="22"/>
    </w:rPr>
  </w:style>
  <w:style w:type="paragraph" w:customStyle="1" w:styleId="73">
    <w:name w:val="Revision"/>
    <w:hidden/>
    <w:unhideWhenUsed/>
    <w:uiPriority w:val="99"/>
    <w:rPr>
      <w:rFonts w:ascii="Times New Roman" w:hAnsi="Times New Roman" w:eastAsia="宋体" w:cstheme="minorBidi"/>
      <w:kern w:val="2"/>
      <w:sz w:val="21"/>
      <w:szCs w:val="22"/>
      <w:lang w:val="en-US" w:eastAsia="zh-CN" w:bidi="ar-SA"/>
    </w:rPr>
  </w:style>
  <w:style w:type="character" w:customStyle="1" w:styleId="74">
    <w:name w:val="正文01 Char"/>
    <w:link w:val="75"/>
    <w:uiPriority w:val="0"/>
    <w:rPr>
      <w:snapToGrid w:val="0"/>
      <w:sz w:val="24"/>
      <w:szCs w:val="24"/>
    </w:rPr>
  </w:style>
  <w:style w:type="paragraph" w:customStyle="1" w:styleId="75">
    <w:name w:val="正文01"/>
    <w:basedOn w:val="1"/>
    <w:link w:val="74"/>
    <w:qFormat/>
    <w:uiPriority w:val="0"/>
    <w:pPr>
      <w:spacing w:before="60" w:line="460" w:lineRule="exact"/>
      <w:ind w:firstLine="200" w:firstLineChars="200"/>
      <w:jc w:val="both"/>
    </w:pPr>
    <w:rPr>
      <w:rFonts w:cs="Times New Roman"/>
      <w:snapToGrid w:val="0"/>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5" Type="http://schemas.openxmlformats.org/officeDocument/2006/relationships/fontTable" Target="fontTable.xml"/><Relationship Id="rId74" Type="http://schemas.openxmlformats.org/officeDocument/2006/relationships/customXml" Target="../customXml/item2.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image" Target="media/image1.png"/><Relationship Id="rId69" Type="http://schemas.openxmlformats.org/officeDocument/2006/relationships/image" Target="media/image61.jpeg"/><Relationship Id="rId68" Type="http://schemas.openxmlformats.org/officeDocument/2006/relationships/image" Target="media/image60.jpe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theme" Target="theme/theme1.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pn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png"/><Relationship Id="rId31" Type="http://schemas.openxmlformats.org/officeDocument/2006/relationships/chart" Target="charts/chart2.xml"/><Relationship Id="rId30" Type="http://schemas.openxmlformats.org/officeDocument/2006/relationships/chart" Target="charts/chart1.xml"/><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wmf"/><Relationship Id="rId27" Type="http://schemas.openxmlformats.org/officeDocument/2006/relationships/image" Target="media/image21.wmf"/><Relationship Id="rId26" Type="http://schemas.openxmlformats.org/officeDocument/2006/relationships/image" Target="media/image20.wmf"/><Relationship Id="rId25" Type="http://schemas.openxmlformats.org/officeDocument/2006/relationships/image" Target="media/image19.wmf"/><Relationship Id="rId24" Type="http://schemas.openxmlformats.org/officeDocument/2006/relationships/image" Target="media/image18.wmf"/><Relationship Id="rId23" Type="http://schemas.openxmlformats.org/officeDocument/2006/relationships/image" Target="media/image17.wmf"/><Relationship Id="rId22" Type="http://schemas.openxmlformats.org/officeDocument/2006/relationships/image" Target="media/image16.wmf"/><Relationship Id="rId21" Type="http://schemas.openxmlformats.org/officeDocument/2006/relationships/image" Target="media/image15.wmf"/><Relationship Id="rId20" Type="http://schemas.openxmlformats.org/officeDocument/2006/relationships/image" Target="media/image14.wmf"/><Relationship Id="rId2" Type="http://schemas.openxmlformats.org/officeDocument/2006/relationships/settings" Target="settings.xml"/><Relationship Id="rId19" Type="http://schemas.openxmlformats.org/officeDocument/2006/relationships/image" Target="media/image13.wmf"/><Relationship Id="rId18" Type="http://schemas.openxmlformats.org/officeDocument/2006/relationships/image" Target="media/image12.wmf"/><Relationship Id="rId17" Type="http://schemas.openxmlformats.org/officeDocument/2006/relationships/image" Target="media/image11.wmf"/><Relationship Id="rId16" Type="http://schemas.openxmlformats.org/officeDocument/2006/relationships/image" Target="media/image10.wmf"/><Relationship Id="rId15" Type="http://schemas.openxmlformats.org/officeDocument/2006/relationships/image" Target="media/image9.wmf"/><Relationship Id="rId14" Type="http://schemas.openxmlformats.org/officeDocument/2006/relationships/image" Target="media/image8.wmf"/><Relationship Id="rId13" Type="http://schemas.openxmlformats.org/officeDocument/2006/relationships/image" Target="media/image7.wmf"/><Relationship Id="rId12" Type="http://schemas.openxmlformats.org/officeDocument/2006/relationships/image" Target="media/image6.wmf"/><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40644;&#24180;\&#27665;&#30416;\6m&#21452;&#22238;&#27169;&#24335;&#35745;&#31639;2.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Desktop\&#40644;&#24180;\&#27665;&#30416;\6m&#21452;&#22238;&#27169;&#24335;&#35745;&#31639;2.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83509898341359"/>
          <c:y val="0.0364145658263305"/>
          <c:w val="0.891878009630819"/>
          <c:h val="0.764631185807656"/>
        </c:manualLayout>
      </c:layout>
      <c:scatterChart>
        <c:scatterStyle val="lineMarker"/>
        <c:varyColors val="0"/>
        <c:ser>
          <c:idx val="0"/>
          <c:order val="0"/>
          <c:tx>
            <c:strRef>
              <c:f>"双回路对地6m地面1.5m"</c:f>
              <c:strCache>
                <c:ptCount val="1"/>
                <c:pt idx="0">
                  <c:v>双回路对地6m地面1.5m</c:v>
                </c:pt>
              </c:strCache>
            </c:strRef>
          </c:tx>
          <c:spPr>
            <a:ln w="12700" cap="rnd" cmpd="sng" algn="ctr">
              <a:solidFill>
                <a:srgbClr val="000080">
                  <a:alpha val="100000"/>
                </a:srgbClr>
              </a:solidFill>
              <a:prstDash val="solid"/>
              <a:round/>
            </a:ln>
            <a:effectLst/>
          </c:spPr>
          <c:marker>
            <c:symbol val="diamond"/>
            <c:size val="5"/>
            <c:spPr>
              <a:solidFill>
                <a:srgbClr val="333399">
                  <a:alpha val="100000"/>
                </a:srgbClr>
              </a:solidFill>
              <a:ln w="6350" cap="flat" cmpd="sng" algn="ctr">
                <a:solidFill>
                  <a:srgbClr val="000080">
                    <a:alpha val="100000"/>
                  </a:srgbClr>
                </a:solidFill>
                <a:prstDash val="solid"/>
                <a:round/>
              </a:ln>
            </c:spPr>
          </c:marker>
          <c:dLbls>
            <c:delete val="1"/>
          </c:dLbls>
          <c:xVal>
            <c:numRef>
              <c:f>[6m双回模式计算2.0.xls]自定义数据!$A$1:$A$81</c:f>
              <c:numCache>
                <c:formatCode>General</c:formatCode>
                <c:ptCount val="81"/>
                <c:pt idx="0">
                  <c:v>-40</c:v>
                </c:pt>
                <c:pt idx="1">
                  <c:v>-39</c:v>
                </c:pt>
                <c:pt idx="2">
                  <c:v>-38</c:v>
                </c:pt>
                <c:pt idx="3">
                  <c:v>-37</c:v>
                </c:pt>
                <c:pt idx="4">
                  <c:v>-36</c:v>
                </c:pt>
                <c:pt idx="5">
                  <c:v>-35</c:v>
                </c:pt>
                <c:pt idx="6">
                  <c:v>-34</c:v>
                </c:pt>
                <c:pt idx="7">
                  <c:v>-33</c:v>
                </c:pt>
                <c:pt idx="8">
                  <c:v>-32</c:v>
                </c:pt>
                <c:pt idx="9">
                  <c:v>-31</c:v>
                </c:pt>
                <c:pt idx="10">
                  <c:v>-30</c:v>
                </c:pt>
                <c:pt idx="11">
                  <c:v>-29</c:v>
                </c:pt>
                <c:pt idx="12">
                  <c:v>-28</c:v>
                </c:pt>
                <c:pt idx="13">
                  <c:v>-27</c:v>
                </c:pt>
                <c:pt idx="14">
                  <c:v>-26</c:v>
                </c:pt>
                <c:pt idx="15">
                  <c:v>-25</c:v>
                </c:pt>
                <c:pt idx="16">
                  <c:v>-24</c:v>
                </c:pt>
                <c:pt idx="17">
                  <c:v>-23</c:v>
                </c:pt>
                <c:pt idx="18">
                  <c:v>-22</c:v>
                </c:pt>
                <c:pt idx="19">
                  <c:v>-21</c:v>
                </c:pt>
                <c:pt idx="20">
                  <c:v>-20</c:v>
                </c:pt>
                <c:pt idx="21">
                  <c:v>-19</c:v>
                </c:pt>
                <c:pt idx="22">
                  <c:v>-18</c:v>
                </c:pt>
                <c:pt idx="23">
                  <c:v>-17</c:v>
                </c:pt>
                <c:pt idx="24">
                  <c:v>-16</c:v>
                </c:pt>
                <c:pt idx="25">
                  <c:v>-15</c:v>
                </c:pt>
                <c:pt idx="26">
                  <c:v>-14</c:v>
                </c:pt>
                <c:pt idx="27">
                  <c:v>-13</c:v>
                </c:pt>
                <c:pt idx="28">
                  <c:v>-12</c:v>
                </c:pt>
                <c:pt idx="29">
                  <c:v>-11</c:v>
                </c:pt>
                <c:pt idx="30">
                  <c:v>-10</c:v>
                </c:pt>
                <c:pt idx="31">
                  <c:v>-9</c:v>
                </c:pt>
                <c:pt idx="32">
                  <c:v>-8</c:v>
                </c:pt>
                <c:pt idx="33">
                  <c:v>-7</c:v>
                </c:pt>
                <c:pt idx="34">
                  <c:v>-6</c:v>
                </c:pt>
                <c:pt idx="35">
                  <c:v>-5</c:v>
                </c:pt>
                <c:pt idx="36">
                  <c:v>-4</c:v>
                </c:pt>
                <c:pt idx="37">
                  <c:v>-3</c:v>
                </c:pt>
                <c:pt idx="38">
                  <c:v>-2</c:v>
                </c:pt>
                <c:pt idx="39">
                  <c:v>-1</c:v>
                </c:pt>
                <c:pt idx="40">
                  <c:v>0</c:v>
                </c:pt>
                <c:pt idx="41">
                  <c:v>1</c:v>
                </c:pt>
                <c:pt idx="42">
                  <c:v>2</c:v>
                </c:pt>
                <c:pt idx="43">
                  <c:v>3</c:v>
                </c:pt>
                <c:pt idx="44">
                  <c:v>4</c:v>
                </c:pt>
                <c:pt idx="45">
                  <c:v>5</c:v>
                </c:pt>
                <c:pt idx="46">
                  <c:v>6</c:v>
                </c:pt>
                <c:pt idx="47">
                  <c:v>7</c:v>
                </c:pt>
                <c:pt idx="48">
                  <c:v>8</c:v>
                </c:pt>
                <c:pt idx="49">
                  <c:v>9</c:v>
                </c:pt>
                <c:pt idx="50">
                  <c:v>10</c:v>
                </c:pt>
                <c:pt idx="51">
                  <c:v>11</c:v>
                </c:pt>
                <c:pt idx="52">
                  <c:v>12</c:v>
                </c:pt>
                <c:pt idx="53">
                  <c:v>13</c:v>
                </c:pt>
                <c:pt idx="54">
                  <c:v>14</c:v>
                </c:pt>
                <c:pt idx="55">
                  <c:v>15</c:v>
                </c:pt>
                <c:pt idx="56">
                  <c:v>16</c:v>
                </c:pt>
                <c:pt idx="57">
                  <c:v>17</c:v>
                </c:pt>
                <c:pt idx="58">
                  <c:v>18</c:v>
                </c:pt>
                <c:pt idx="59">
                  <c:v>19</c:v>
                </c:pt>
                <c:pt idx="60">
                  <c:v>20</c:v>
                </c:pt>
                <c:pt idx="61">
                  <c:v>21</c:v>
                </c:pt>
                <c:pt idx="62">
                  <c:v>22</c:v>
                </c:pt>
                <c:pt idx="63">
                  <c:v>23</c:v>
                </c:pt>
                <c:pt idx="64">
                  <c:v>24</c:v>
                </c:pt>
                <c:pt idx="65">
                  <c:v>25</c:v>
                </c:pt>
                <c:pt idx="66">
                  <c:v>26</c:v>
                </c:pt>
                <c:pt idx="67">
                  <c:v>27</c:v>
                </c:pt>
                <c:pt idx="68">
                  <c:v>28</c:v>
                </c:pt>
                <c:pt idx="69">
                  <c:v>29</c:v>
                </c:pt>
                <c:pt idx="70">
                  <c:v>30</c:v>
                </c:pt>
                <c:pt idx="71">
                  <c:v>31</c:v>
                </c:pt>
                <c:pt idx="72">
                  <c:v>32</c:v>
                </c:pt>
                <c:pt idx="73">
                  <c:v>33</c:v>
                </c:pt>
                <c:pt idx="74">
                  <c:v>34</c:v>
                </c:pt>
                <c:pt idx="75">
                  <c:v>35</c:v>
                </c:pt>
                <c:pt idx="76">
                  <c:v>36</c:v>
                </c:pt>
                <c:pt idx="77">
                  <c:v>37</c:v>
                </c:pt>
                <c:pt idx="78">
                  <c:v>38</c:v>
                </c:pt>
                <c:pt idx="79">
                  <c:v>39</c:v>
                </c:pt>
                <c:pt idx="80">
                  <c:v>40</c:v>
                </c:pt>
              </c:numCache>
            </c:numRef>
          </c:xVal>
          <c:yVal>
            <c:numRef>
              <c:f>[6m双回模式计算2.0.xls]自定义数据!$B$1:$B$81</c:f>
              <c:numCache>
                <c:formatCode>0.000_ </c:formatCode>
                <c:ptCount val="81"/>
                <c:pt idx="0">
                  <c:v>0.114515481959318</c:v>
                </c:pt>
                <c:pt idx="1">
                  <c:v>0.11888277592806</c:v>
                </c:pt>
                <c:pt idx="2">
                  <c:v>0.12344220734203</c:v>
                </c:pt>
                <c:pt idx="3">
                  <c:v>0.128195577860814</c:v>
                </c:pt>
                <c:pt idx="4">
                  <c:v>0.133142196351745</c:v>
                </c:pt>
                <c:pt idx="5">
                  <c:v>0.138278013373728</c:v>
                </c:pt>
                <c:pt idx="6">
                  <c:v>0.143594505723786</c:v>
                </c:pt>
                <c:pt idx="7">
                  <c:v>0.149077240545443</c:v>
                </c:pt>
                <c:pt idx="8">
                  <c:v>0.154704028823575</c:v>
                </c:pt>
                <c:pt idx="9">
                  <c:v>0.160442553351331</c:v>
                </c:pt>
                <c:pt idx="10">
                  <c:v>0.166247325659073</c:v>
                </c:pt>
                <c:pt idx="11">
                  <c:v>0.172055789624088</c:v>
                </c:pt>
                <c:pt idx="12">
                  <c:v>0.177783347565552</c:v>
                </c:pt>
                <c:pt idx="13">
                  <c:v>0.183317041923504</c:v>
                </c:pt>
                <c:pt idx="14">
                  <c:v>0.188507594205619</c:v>
                </c:pt>
                <c:pt idx="15">
                  <c:v>0.193159512622572</c:v>
                </c:pt>
                <c:pt idx="16">
                  <c:v>0.197019101908244</c:v>
                </c:pt>
                <c:pt idx="17">
                  <c:v>0.199760613064217</c:v>
                </c:pt>
                <c:pt idx="18">
                  <c:v>0.200971871952459</c:v>
                </c:pt>
                <c:pt idx="19">
                  <c:v>0.200143578387112</c:v>
                </c:pt>
                <c:pt idx="20">
                  <c:v>0.196673901069573</c:v>
                </c:pt>
                <c:pt idx="21">
                  <c:v>0.189920094163536</c:v>
                </c:pt>
                <c:pt idx="22">
                  <c:v>0.179386208282997</c:v>
                </c:pt>
                <c:pt idx="23">
                  <c:v>0.165306996890558</c:v>
                </c:pt>
                <c:pt idx="24">
                  <c:v>0.150368970989044</c:v>
                </c:pt>
                <c:pt idx="25">
                  <c:v>0.14392640384644</c:v>
                </c:pt>
                <c:pt idx="26">
                  <c:v>0.165454385409081</c:v>
                </c:pt>
                <c:pt idx="27">
                  <c:v>0.232426990155991</c:v>
                </c:pt>
                <c:pt idx="28">
                  <c:v>0.349706665216808</c:v>
                </c:pt>
                <c:pt idx="29">
                  <c:v>0.52069284572858</c:v>
                </c:pt>
                <c:pt idx="30">
                  <c:v>0.752260032949545</c:v>
                </c:pt>
                <c:pt idx="31">
                  <c:v>1.05097852493276</c:v>
                </c:pt>
                <c:pt idx="32">
                  <c:v>1.415274725531</c:v>
                </c:pt>
                <c:pt idx="33">
                  <c:v>1.82293923397573</c:v>
                </c:pt>
                <c:pt idx="34">
                  <c:v>2.21730417102228</c:v>
                </c:pt>
                <c:pt idx="35">
                  <c:v>2.50913212532709</c:v>
                </c:pt>
                <c:pt idx="36">
                  <c:v>2.6190364067548</c:v>
                </c:pt>
                <c:pt idx="37">
                  <c:v>2.54268782498152</c:v>
                </c:pt>
                <c:pt idx="38">
                  <c:v>2.36358675447881</c:v>
                </c:pt>
                <c:pt idx="39">
                  <c:v>2.19679557611356</c:v>
                </c:pt>
                <c:pt idx="40">
                  <c:v>2.13045822485185</c:v>
                </c:pt>
                <c:pt idx="41">
                  <c:v>2.19679557611356</c:v>
                </c:pt>
                <c:pt idx="42">
                  <c:v>2.36358675447881</c:v>
                </c:pt>
                <c:pt idx="43">
                  <c:v>2.54268782498152</c:v>
                </c:pt>
                <c:pt idx="44">
                  <c:v>2.6190364067548</c:v>
                </c:pt>
                <c:pt idx="45">
                  <c:v>2.50913212532709</c:v>
                </c:pt>
                <c:pt idx="46">
                  <c:v>2.21730417102228</c:v>
                </c:pt>
                <c:pt idx="47">
                  <c:v>1.82293923397573</c:v>
                </c:pt>
                <c:pt idx="48">
                  <c:v>1.415274725531</c:v>
                </c:pt>
                <c:pt idx="49">
                  <c:v>1.05097852493276</c:v>
                </c:pt>
                <c:pt idx="50">
                  <c:v>0.752260032949545</c:v>
                </c:pt>
                <c:pt idx="51">
                  <c:v>0.52069284572858</c:v>
                </c:pt>
                <c:pt idx="52">
                  <c:v>0.349706665216808</c:v>
                </c:pt>
                <c:pt idx="53">
                  <c:v>0.232426990155991</c:v>
                </c:pt>
                <c:pt idx="54">
                  <c:v>0.165454385409081</c:v>
                </c:pt>
                <c:pt idx="55">
                  <c:v>0.14392640384644</c:v>
                </c:pt>
                <c:pt idx="56">
                  <c:v>0.150368970989044</c:v>
                </c:pt>
                <c:pt idx="57">
                  <c:v>0.165306996890558</c:v>
                </c:pt>
                <c:pt idx="58">
                  <c:v>0.179386208282997</c:v>
                </c:pt>
                <c:pt idx="59">
                  <c:v>0.189920094163536</c:v>
                </c:pt>
                <c:pt idx="60">
                  <c:v>0.196673901069573</c:v>
                </c:pt>
                <c:pt idx="61">
                  <c:v>0.200143578387112</c:v>
                </c:pt>
                <c:pt idx="62">
                  <c:v>0.200971871952459</c:v>
                </c:pt>
                <c:pt idx="63">
                  <c:v>0.199760613064217</c:v>
                </c:pt>
                <c:pt idx="64">
                  <c:v>0.197019101908244</c:v>
                </c:pt>
                <c:pt idx="65">
                  <c:v>0.193159512622572</c:v>
                </c:pt>
                <c:pt idx="66">
                  <c:v>0.188507594205619</c:v>
                </c:pt>
                <c:pt idx="67">
                  <c:v>0.183317041923504</c:v>
                </c:pt>
                <c:pt idx="68">
                  <c:v>0.177783347565552</c:v>
                </c:pt>
                <c:pt idx="69">
                  <c:v>0.172055789624088</c:v>
                </c:pt>
                <c:pt idx="70">
                  <c:v>0.166247325659073</c:v>
                </c:pt>
                <c:pt idx="71">
                  <c:v>0.160442553351331</c:v>
                </c:pt>
                <c:pt idx="72">
                  <c:v>0.154704028823575</c:v>
                </c:pt>
                <c:pt idx="73">
                  <c:v>0.149077240545443</c:v>
                </c:pt>
                <c:pt idx="74">
                  <c:v>0.143594505723786</c:v>
                </c:pt>
                <c:pt idx="75">
                  <c:v>0.138278013373728</c:v>
                </c:pt>
                <c:pt idx="76">
                  <c:v>0.133142196351745</c:v>
                </c:pt>
                <c:pt idx="77">
                  <c:v>0.128195577860814</c:v>
                </c:pt>
                <c:pt idx="78">
                  <c:v>0.12344220734203</c:v>
                </c:pt>
                <c:pt idx="79">
                  <c:v>0.11888277592806</c:v>
                </c:pt>
                <c:pt idx="80">
                  <c:v>0.114515481959318</c:v>
                </c:pt>
              </c:numCache>
            </c:numRef>
          </c:yVal>
          <c:smooth val="1"/>
        </c:ser>
        <c:ser>
          <c:idx val="1"/>
          <c:order val="1"/>
          <c:tx>
            <c:strRef>
              <c:f>"双回路对地7m地面1.5m"</c:f>
              <c:strCache>
                <c:ptCount val="1"/>
                <c:pt idx="0">
                  <c:v>双回路对地7m地面1.5m</c:v>
                </c:pt>
              </c:strCache>
            </c:strRef>
          </c:tx>
          <c:spPr>
            <a:ln w="12700" cap="rnd" cmpd="sng" algn="ctr">
              <a:solidFill>
                <a:schemeClr val="accent2"/>
              </a:solidFill>
              <a:prstDash val="solid"/>
              <a:round/>
            </a:ln>
          </c:spPr>
          <c:marker>
            <c:spPr>
              <a:solidFill>
                <a:srgbClr val="FF0000"/>
              </a:solidFill>
            </c:spPr>
          </c:marker>
          <c:dLbls>
            <c:delete val="1"/>
          </c:dLbls>
          <c:xVal>
            <c:numRef>
              <c:f>[6m双回模式计算2.0.xls]自定义数据!$A$1:$A$81</c:f>
              <c:numCache>
                <c:formatCode>General</c:formatCode>
                <c:ptCount val="81"/>
                <c:pt idx="0">
                  <c:v>-40</c:v>
                </c:pt>
                <c:pt idx="1">
                  <c:v>-39</c:v>
                </c:pt>
                <c:pt idx="2">
                  <c:v>-38</c:v>
                </c:pt>
                <c:pt idx="3">
                  <c:v>-37</c:v>
                </c:pt>
                <c:pt idx="4">
                  <c:v>-36</c:v>
                </c:pt>
                <c:pt idx="5">
                  <c:v>-35</c:v>
                </c:pt>
                <c:pt idx="6">
                  <c:v>-34</c:v>
                </c:pt>
                <c:pt idx="7">
                  <c:v>-33</c:v>
                </c:pt>
                <c:pt idx="8">
                  <c:v>-32</c:v>
                </c:pt>
                <c:pt idx="9">
                  <c:v>-31</c:v>
                </c:pt>
                <c:pt idx="10">
                  <c:v>-30</c:v>
                </c:pt>
                <c:pt idx="11">
                  <c:v>-29</c:v>
                </c:pt>
                <c:pt idx="12">
                  <c:v>-28</c:v>
                </c:pt>
                <c:pt idx="13">
                  <c:v>-27</c:v>
                </c:pt>
                <c:pt idx="14">
                  <c:v>-26</c:v>
                </c:pt>
                <c:pt idx="15">
                  <c:v>-25</c:v>
                </c:pt>
                <c:pt idx="16">
                  <c:v>-24</c:v>
                </c:pt>
                <c:pt idx="17">
                  <c:v>-23</c:v>
                </c:pt>
                <c:pt idx="18">
                  <c:v>-22</c:v>
                </c:pt>
                <c:pt idx="19">
                  <c:v>-21</c:v>
                </c:pt>
                <c:pt idx="20">
                  <c:v>-20</c:v>
                </c:pt>
                <c:pt idx="21">
                  <c:v>-19</c:v>
                </c:pt>
                <c:pt idx="22">
                  <c:v>-18</c:v>
                </c:pt>
                <c:pt idx="23">
                  <c:v>-17</c:v>
                </c:pt>
                <c:pt idx="24">
                  <c:v>-16</c:v>
                </c:pt>
                <c:pt idx="25">
                  <c:v>-15</c:v>
                </c:pt>
                <c:pt idx="26">
                  <c:v>-14</c:v>
                </c:pt>
                <c:pt idx="27">
                  <c:v>-13</c:v>
                </c:pt>
                <c:pt idx="28">
                  <c:v>-12</c:v>
                </c:pt>
                <c:pt idx="29">
                  <c:v>-11</c:v>
                </c:pt>
                <c:pt idx="30">
                  <c:v>-10</c:v>
                </c:pt>
                <c:pt idx="31">
                  <c:v>-9</c:v>
                </c:pt>
                <c:pt idx="32">
                  <c:v>-8</c:v>
                </c:pt>
                <c:pt idx="33">
                  <c:v>-7</c:v>
                </c:pt>
                <c:pt idx="34">
                  <c:v>-6</c:v>
                </c:pt>
                <c:pt idx="35">
                  <c:v>-5</c:v>
                </c:pt>
                <c:pt idx="36">
                  <c:v>-4</c:v>
                </c:pt>
                <c:pt idx="37">
                  <c:v>-3</c:v>
                </c:pt>
                <c:pt idx="38">
                  <c:v>-2</c:v>
                </c:pt>
                <c:pt idx="39">
                  <c:v>-1</c:v>
                </c:pt>
                <c:pt idx="40">
                  <c:v>0</c:v>
                </c:pt>
                <c:pt idx="41">
                  <c:v>1</c:v>
                </c:pt>
                <c:pt idx="42">
                  <c:v>2</c:v>
                </c:pt>
                <c:pt idx="43">
                  <c:v>3</c:v>
                </c:pt>
                <c:pt idx="44">
                  <c:v>4</c:v>
                </c:pt>
                <c:pt idx="45">
                  <c:v>5</c:v>
                </c:pt>
                <c:pt idx="46">
                  <c:v>6</c:v>
                </c:pt>
                <c:pt idx="47">
                  <c:v>7</c:v>
                </c:pt>
                <c:pt idx="48">
                  <c:v>8</c:v>
                </c:pt>
                <c:pt idx="49">
                  <c:v>9</c:v>
                </c:pt>
                <c:pt idx="50">
                  <c:v>10</c:v>
                </c:pt>
                <c:pt idx="51">
                  <c:v>11</c:v>
                </c:pt>
                <c:pt idx="52">
                  <c:v>12</c:v>
                </c:pt>
                <c:pt idx="53">
                  <c:v>13</c:v>
                </c:pt>
                <c:pt idx="54">
                  <c:v>14</c:v>
                </c:pt>
                <c:pt idx="55">
                  <c:v>15</c:v>
                </c:pt>
                <c:pt idx="56">
                  <c:v>16</c:v>
                </c:pt>
                <c:pt idx="57">
                  <c:v>17</c:v>
                </c:pt>
                <c:pt idx="58">
                  <c:v>18</c:v>
                </c:pt>
                <c:pt idx="59">
                  <c:v>19</c:v>
                </c:pt>
                <c:pt idx="60">
                  <c:v>20</c:v>
                </c:pt>
                <c:pt idx="61">
                  <c:v>21</c:v>
                </c:pt>
                <c:pt idx="62">
                  <c:v>22</c:v>
                </c:pt>
                <c:pt idx="63">
                  <c:v>23</c:v>
                </c:pt>
                <c:pt idx="64">
                  <c:v>24</c:v>
                </c:pt>
                <c:pt idx="65">
                  <c:v>25</c:v>
                </c:pt>
                <c:pt idx="66">
                  <c:v>26</c:v>
                </c:pt>
                <c:pt idx="67">
                  <c:v>27</c:v>
                </c:pt>
                <c:pt idx="68">
                  <c:v>28</c:v>
                </c:pt>
                <c:pt idx="69">
                  <c:v>29</c:v>
                </c:pt>
                <c:pt idx="70">
                  <c:v>30</c:v>
                </c:pt>
                <c:pt idx="71">
                  <c:v>31</c:v>
                </c:pt>
                <c:pt idx="72">
                  <c:v>32</c:v>
                </c:pt>
                <c:pt idx="73">
                  <c:v>33</c:v>
                </c:pt>
                <c:pt idx="74">
                  <c:v>34</c:v>
                </c:pt>
                <c:pt idx="75">
                  <c:v>35</c:v>
                </c:pt>
                <c:pt idx="76">
                  <c:v>36</c:v>
                </c:pt>
                <c:pt idx="77">
                  <c:v>37</c:v>
                </c:pt>
                <c:pt idx="78">
                  <c:v>38</c:v>
                </c:pt>
                <c:pt idx="79">
                  <c:v>39</c:v>
                </c:pt>
                <c:pt idx="80">
                  <c:v>40</c:v>
                </c:pt>
              </c:numCache>
            </c:numRef>
          </c:xVal>
          <c:yVal>
            <c:numRef>
              <c:f>[6m双回模式计算2.0.xls]自定义数据!$C$1:$C$81</c:f>
              <c:numCache>
                <c:formatCode>0.000_ </c:formatCode>
                <c:ptCount val="81"/>
                <c:pt idx="0">
                  <c:v>0.109414795279812</c:v>
                </c:pt>
                <c:pt idx="1">
                  <c:v>0.113271438892579</c:v>
                </c:pt>
                <c:pt idx="2">
                  <c:v>0.117259871113006</c:v>
                </c:pt>
                <c:pt idx="3">
                  <c:v>0.12137368644065</c:v>
                </c:pt>
                <c:pt idx="4">
                  <c:v>0.125602756364947</c:v>
                </c:pt>
                <c:pt idx="5">
                  <c:v>0.129932173579436</c:v>
                </c:pt>
                <c:pt idx="6">
                  <c:v>0.134340920403566</c:v>
                </c:pt>
                <c:pt idx="7">
                  <c:v>0.138800190268659</c:v>
                </c:pt>
                <c:pt idx="8">
                  <c:v>0.14327127357615</c:v>
                </c:pt>
                <c:pt idx="9">
                  <c:v>0.147702898355282</c:v>
                </c:pt>
                <c:pt idx="10">
                  <c:v>0.152027892363397</c:v>
                </c:pt>
                <c:pt idx="11">
                  <c:v>0.15615900842896</c:v>
                </c:pt>
                <c:pt idx="12">
                  <c:v>0.15998373393541</c:v>
                </c:pt>
                <c:pt idx="13">
                  <c:v>0.163357900328806</c:v>
                </c:pt>
                <c:pt idx="14">
                  <c:v>0.166097946766533</c:v>
                </c:pt>
                <c:pt idx="15">
                  <c:v>0.167971835923856</c:v>
                </c:pt>
                <c:pt idx="16">
                  <c:v>0.168689014660132</c:v>
                </c:pt>
                <c:pt idx="17">
                  <c:v>0.167890807712726</c:v>
                </c:pt>
                <c:pt idx="18">
                  <c:v>0.165145117689127</c:v>
                </c:pt>
                <c:pt idx="19">
                  <c:v>0.15995568869321</c:v>
                </c:pt>
                <c:pt idx="20">
                  <c:v>0.151813518724405</c:v>
                </c:pt>
                <c:pt idx="21">
                  <c:v>0.140368515797332</c:v>
                </c:pt>
                <c:pt idx="22">
                  <c:v>0.125956212591058</c:v>
                </c:pt>
                <c:pt idx="23">
                  <c:v>0.111176495023896</c:v>
                </c:pt>
                <c:pt idx="24">
                  <c:v>0.104740064749037</c:v>
                </c:pt>
                <c:pt idx="25">
                  <c:v>0.123164672487175</c:v>
                </c:pt>
                <c:pt idx="26">
                  <c:v>0.177006264563169</c:v>
                </c:pt>
                <c:pt idx="27">
                  <c:v>0.2657137578414</c:v>
                </c:pt>
                <c:pt idx="28">
                  <c:v>0.389315494592641</c:v>
                </c:pt>
                <c:pt idx="29">
                  <c:v>0.550767095102899</c:v>
                </c:pt>
                <c:pt idx="30">
                  <c:v>0.753364198102199</c:v>
                </c:pt>
                <c:pt idx="31">
                  <c:v>0.997329997290386</c:v>
                </c:pt>
                <c:pt idx="32">
                  <c:v>1.27526279702125</c:v>
                </c:pt>
                <c:pt idx="33">
                  <c:v>1.56688867896271</c:v>
                </c:pt>
                <c:pt idx="34">
                  <c:v>1.83646296078878</c:v>
                </c:pt>
                <c:pt idx="35">
                  <c:v>2.03948083231785</c:v>
                </c:pt>
                <c:pt idx="36">
                  <c:v>2.14255870644264</c:v>
                </c:pt>
                <c:pt idx="37">
                  <c:v>2.14583422643114</c:v>
                </c:pt>
                <c:pt idx="38">
                  <c:v>2.08680644274797</c:v>
                </c:pt>
                <c:pt idx="39">
                  <c:v>2.02050248966579</c:v>
                </c:pt>
                <c:pt idx="40">
                  <c:v>1.99260126256113</c:v>
                </c:pt>
                <c:pt idx="41">
                  <c:v>2.02050248966579</c:v>
                </c:pt>
                <c:pt idx="42">
                  <c:v>2.08680644274797</c:v>
                </c:pt>
                <c:pt idx="43">
                  <c:v>2.14583422643113</c:v>
                </c:pt>
                <c:pt idx="44">
                  <c:v>2.14255870644264</c:v>
                </c:pt>
                <c:pt idx="45">
                  <c:v>2.03948083231785</c:v>
                </c:pt>
                <c:pt idx="46">
                  <c:v>1.83646296078878</c:v>
                </c:pt>
                <c:pt idx="47">
                  <c:v>1.56688867896271</c:v>
                </c:pt>
                <c:pt idx="48">
                  <c:v>1.27526279702125</c:v>
                </c:pt>
                <c:pt idx="49">
                  <c:v>0.997329997290385</c:v>
                </c:pt>
                <c:pt idx="50">
                  <c:v>0.753364198102199</c:v>
                </c:pt>
                <c:pt idx="51">
                  <c:v>0.550767095102899</c:v>
                </c:pt>
                <c:pt idx="52">
                  <c:v>0.389315494592641</c:v>
                </c:pt>
                <c:pt idx="53">
                  <c:v>0.265713757841399</c:v>
                </c:pt>
                <c:pt idx="54">
                  <c:v>0.177006264563169</c:v>
                </c:pt>
                <c:pt idx="55">
                  <c:v>0.123164672487175</c:v>
                </c:pt>
                <c:pt idx="56">
                  <c:v>0.104740064749036</c:v>
                </c:pt>
                <c:pt idx="57">
                  <c:v>0.111176495023896</c:v>
                </c:pt>
                <c:pt idx="58">
                  <c:v>0.125956212591058</c:v>
                </c:pt>
                <c:pt idx="59">
                  <c:v>0.140368515797332</c:v>
                </c:pt>
                <c:pt idx="60">
                  <c:v>0.151813518724405</c:v>
                </c:pt>
                <c:pt idx="61">
                  <c:v>0.15995568869321</c:v>
                </c:pt>
                <c:pt idx="62">
                  <c:v>0.165145117689127</c:v>
                </c:pt>
                <c:pt idx="63">
                  <c:v>0.167890807712726</c:v>
                </c:pt>
                <c:pt idx="64">
                  <c:v>0.168689014660132</c:v>
                </c:pt>
                <c:pt idx="65">
                  <c:v>0.167971835923856</c:v>
                </c:pt>
                <c:pt idx="66">
                  <c:v>0.166097946766533</c:v>
                </c:pt>
                <c:pt idx="67">
                  <c:v>0.163357900328806</c:v>
                </c:pt>
                <c:pt idx="68">
                  <c:v>0.15998373393541</c:v>
                </c:pt>
                <c:pt idx="69">
                  <c:v>0.15615900842896</c:v>
                </c:pt>
                <c:pt idx="70">
                  <c:v>0.152027892363397</c:v>
                </c:pt>
                <c:pt idx="71">
                  <c:v>0.147702898355282</c:v>
                </c:pt>
                <c:pt idx="72">
                  <c:v>0.14327127357615</c:v>
                </c:pt>
                <c:pt idx="73">
                  <c:v>0.138800190268659</c:v>
                </c:pt>
                <c:pt idx="74">
                  <c:v>0.134340920403566</c:v>
                </c:pt>
                <c:pt idx="75">
                  <c:v>0.129932173579436</c:v>
                </c:pt>
                <c:pt idx="76">
                  <c:v>0.125602756364947</c:v>
                </c:pt>
                <c:pt idx="77">
                  <c:v>0.12137368644065</c:v>
                </c:pt>
                <c:pt idx="78">
                  <c:v>0.117259871113006</c:v>
                </c:pt>
                <c:pt idx="79">
                  <c:v>0.113271438892579</c:v>
                </c:pt>
                <c:pt idx="80">
                  <c:v>0.109414795279812</c:v>
                </c:pt>
              </c:numCache>
            </c:numRef>
          </c:yVal>
          <c:smooth val="0"/>
        </c:ser>
        <c:dLbls>
          <c:showLegendKey val="0"/>
          <c:showVal val="0"/>
          <c:showCatName val="0"/>
          <c:showSerName val="0"/>
          <c:showPercent val="0"/>
          <c:showBubbleSize val="0"/>
        </c:dLbls>
        <c:axId val="222805151"/>
        <c:axId val="810928310"/>
      </c:scatterChart>
      <c:valAx>
        <c:axId val="222805151"/>
        <c:scaling>
          <c:orientation val="minMax"/>
          <c:max val="40"/>
          <c:min val="-40"/>
        </c:scaling>
        <c:delete val="0"/>
        <c:axPos val="b"/>
        <c:majorGridlines>
          <c:spPr>
            <a:ln w="3175" cap="flat" cmpd="sng" algn="ctr">
              <a:solidFill>
                <a:srgbClr val="C0C0C0">
                  <a:alpha val="100000"/>
                </a:srgbClr>
              </a:solidFill>
              <a:prstDash val="solid"/>
              <a:round/>
            </a:ln>
          </c:spPr>
        </c:majorGridlines>
        <c:title>
          <c:tx>
            <c:rich>
              <a:bodyPr rot="0" spcFirstLastPara="0" vertOverflow="ellipsis" vert="horz" wrap="square" anchor="ctr" anchorCtr="1"/>
              <a:lstStyle/>
              <a:p>
                <a:pPr defTabSz="914400">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距中心线距离（</a:t>
                </a:r>
                <a:r>
                  <a:rPr lang="en-US"/>
                  <a:t>m）</a:t>
                </a:r>
                <a:endParaRPr lang="en-US" sz="975"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manualLayout>
              <c:xMode val="edge"/>
              <c:yMode val="edge"/>
              <c:x val="0.434456928838951"/>
              <c:y val="0.871150812030849"/>
            </c:manualLayout>
          </c:layout>
          <c:overlay val="0"/>
          <c:spPr>
            <a:noFill/>
            <a:ln w="3175">
              <a:noFill/>
            </a:ln>
          </c:spPr>
        </c:title>
        <c:numFmt formatCode="General" sourceLinked="1"/>
        <c:majorTickMark val="in"/>
        <c:minorTickMark val="none"/>
        <c:tickLblPos val="nextTo"/>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810928310"/>
        <c:crosses val="autoZero"/>
        <c:crossBetween val="midCat"/>
        <c:majorUnit val="5"/>
      </c:valAx>
      <c:valAx>
        <c:axId val="810928310"/>
        <c:scaling>
          <c:orientation val="minMax"/>
        </c:scaling>
        <c:delete val="0"/>
        <c:axPos val="l"/>
        <c:majorGridlines>
          <c:spPr>
            <a:ln w="3175" cap="flat" cmpd="sng" algn="ctr">
              <a:solidFill>
                <a:srgbClr val="C0C0C0">
                  <a:alpha val="100000"/>
                </a:srgbClr>
              </a:solidFill>
              <a:prstDash val="solid"/>
              <a:round/>
            </a:ln>
          </c:spPr>
        </c:majorGridlines>
        <c:title>
          <c:tx>
            <c:rich>
              <a:bodyPr rot="-5400000" spcFirstLastPara="0" vertOverflow="ellipsis" vert="horz" wrap="square" anchor="ctr" anchorCtr="1"/>
              <a:lstStyle/>
              <a:p>
                <a:pPr defTabSz="914400">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电场强度（</a:t>
                </a:r>
                <a:r>
                  <a:rPr lang="en-US"/>
                  <a:t>kV/m）</a:t>
                </a:r>
                <a:endParaRPr lang="en-US" sz="975"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manualLayout>
              <c:xMode val="edge"/>
              <c:yMode val="edge"/>
              <c:x val="0.00642054574638844"/>
              <c:y val="0.295052236117544"/>
            </c:manualLayout>
          </c:layout>
          <c:overlay val="0"/>
          <c:spPr>
            <a:noFill/>
            <a:ln w="3175">
              <a:noFill/>
            </a:ln>
          </c:spPr>
        </c:title>
        <c:numFmt formatCode="0.0_ " sourceLinked="0"/>
        <c:majorTickMark val="in"/>
        <c:minorTickMark val="none"/>
        <c:tickLblPos val="low"/>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222805151"/>
        <c:crosses val="autoZero"/>
        <c:crossBetween val="midCat"/>
      </c:valAx>
      <c:spPr>
        <a:noFill/>
        <a:ln w="3175">
          <a:solidFill>
            <a:srgbClr val="000000">
              <a:alpha val="100000"/>
            </a:srgbClr>
          </a:solidFill>
          <a:prstDash val="solid"/>
        </a:ln>
      </c:spPr>
    </c:plotArea>
    <c:legend>
      <c:legendPos val="b"/>
      <c:layout>
        <c:manualLayout>
          <c:xMode val="edge"/>
          <c:yMode val="edge"/>
          <c:x val="0.201444538533807"/>
          <c:y val="0.922866700485969"/>
          <c:w val="0.649117174959872"/>
          <c:h val="0.0584591631928362"/>
        </c:manualLayout>
      </c:layout>
      <c:overlay val="0"/>
      <c:spPr>
        <a:noFill/>
        <a:ln w="3175">
          <a:noFill/>
        </a:ln>
      </c:spPr>
      <c:txPr>
        <a:bodyPr rot="0" spcFirstLastPara="0" vertOverflow="ellipsis" vert="horz" wrap="square" anchor="ctr" anchorCtr="1"/>
        <a:lstStyle/>
        <a:p>
          <a:pPr>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legend>
    <c:plotVisOnly val="1"/>
    <c:dispBlanksAs val="gap"/>
    <c:showDLblsOverMax val="0"/>
  </c:chart>
  <c:spPr>
    <a:solidFill>
      <a:srgbClr val="FFFFFF">
        <a:alpha val="100000"/>
      </a:srgbClr>
    </a:solidFill>
    <a:ln w="3175" cap="flat" cmpd="sng" algn="ctr">
      <a:solidFill>
        <a:srgbClr val="000000">
          <a:alpha val="100000"/>
        </a:srgbClr>
      </a:solidFill>
      <a:prstDash val="solid"/>
      <a:round/>
    </a:ln>
  </c:spPr>
  <c:txPr>
    <a:bodyPr rot="0" wrap="square" anchor="ctr" anchorCtr="1"/>
    <a:lstStyle/>
    <a:p>
      <a:pPr>
        <a:defRPr lang="zh-CN" sz="975"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209401709402"/>
          <c:y val="0.0692392909896603"/>
          <c:w val="0.873354700854701"/>
          <c:h val="0.767097488921713"/>
        </c:manualLayout>
      </c:layout>
      <c:scatterChart>
        <c:scatterStyle val="smoothMarker"/>
        <c:varyColors val="0"/>
        <c:ser>
          <c:idx val="0"/>
          <c:order val="0"/>
          <c:tx>
            <c:strRef>
              <c:f>"双回路对地6m地面1.5m"</c:f>
              <c:strCache>
                <c:ptCount val="1"/>
                <c:pt idx="0">
                  <c:v>双回路对地6m地面1.5m</c:v>
                </c:pt>
              </c:strCache>
            </c:strRef>
          </c:tx>
          <c:spPr>
            <a:ln w="12700" cap="rnd" cmpd="sng" algn="ctr">
              <a:solidFill>
                <a:srgbClr val="000080">
                  <a:alpha val="100000"/>
                </a:srgbClr>
              </a:solidFill>
              <a:prstDash val="solid"/>
              <a:round/>
            </a:ln>
            <a:effectLst/>
          </c:spPr>
          <c:marker>
            <c:symbol val="diamond"/>
            <c:size val="5"/>
            <c:spPr>
              <a:solidFill>
                <a:srgbClr val="333399">
                  <a:alpha val="100000"/>
                </a:srgbClr>
              </a:solidFill>
              <a:ln w="6350" cap="flat" cmpd="sng" algn="ctr">
                <a:solidFill>
                  <a:srgbClr val="000080">
                    <a:alpha val="100000"/>
                  </a:srgbClr>
                </a:solidFill>
                <a:prstDash val="solid"/>
                <a:round/>
              </a:ln>
            </c:spPr>
          </c:marker>
          <c:dLbls>
            <c:delete val="1"/>
          </c:dLbls>
          <c:xVal>
            <c:numRef>
              <c:f>[6m双回模式计算2.0.xls]自定义数据!$A$1:$A$81</c:f>
              <c:numCache>
                <c:formatCode>General</c:formatCode>
                <c:ptCount val="81"/>
                <c:pt idx="0">
                  <c:v>-40</c:v>
                </c:pt>
                <c:pt idx="1">
                  <c:v>-39</c:v>
                </c:pt>
                <c:pt idx="2">
                  <c:v>-38</c:v>
                </c:pt>
                <c:pt idx="3">
                  <c:v>-37</c:v>
                </c:pt>
                <c:pt idx="4">
                  <c:v>-36</c:v>
                </c:pt>
                <c:pt idx="5">
                  <c:v>-35</c:v>
                </c:pt>
                <c:pt idx="6">
                  <c:v>-34</c:v>
                </c:pt>
                <c:pt idx="7">
                  <c:v>-33</c:v>
                </c:pt>
                <c:pt idx="8">
                  <c:v>-32</c:v>
                </c:pt>
                <c:pt idx="9">
                  <c:v>-31</c:v>
                </c:pt>
                <c:pt idx="10">
                  <c:v>-30</c:v>
                </c:pt>
                <c:pt idx="11">
                  <c:v>-29</c:v>
                </c:pt>
                <c:pt idx="12">
                  <c:v>-28</c:v>
                </c:pt>
                <c:pt idx="13">
                  <c:v>-27</c:v>
                </c:pt>
                <c:pt idx="14">
                  <c:v>-26</c:v>
                </c:pt>
                <c:pt idx="15">
                  <c:v>-25</c:v>
                </c:pt>
                <c:pt idx="16">
                  <c:v>-24</c:v>
                </c:pt>
                <c:pt idx="17">
                  <c:v>-23</c:v>
                </c:pt>
                <c:pt idx="18">
                  <c:v>-22</c:v>
                </c:pt>
                <c:pt idx="19">
                  <c:v>-21</c:v>
                </c:pt>
                <c:pt idx="20">
                  <c:v>-20</c:v>
                </c:pt>
                <c:pt idx="21">
                  <c:v>-19</c:v>
                </c:pt>
                <c:pt idx="22">
                  <c:v>-18</c:v>
                </c:pt>
                <c:pt idx="23">
                  <c:v>-17</c:v>
                </c:pt>
                <c:pt idx="24">
                  <c:v>-16</c:v>
                </c:pt>
                <c:pt idx="25">
                  <c:v>-15</c:v>
                </c:pt>
                <c:pt idx="26">
                  <c:v>-14</c:v>
                </c:pt>
                <c:pt idx="27">
                  <c:v>-13</c:v>
                </c:pt>
                <c:pt idx="28">
                  <c:v>-12</c:v>
                </c:pt>
                <c:pt idx="29">
                  <c:v>-11</c:v>
                </c:pt>
                <c:pt idx="30">
                  <c:v>-10</c:v>
                </c:pt>
                <c:pt idx="31">
                  <c:v>-9</c:v>
                </c:pt>
                <c:pt idx="32">
                  <c:v>-8</c:v>
                </c:pt>
                <c:pt idx="33">
                  <c:v>-7</c:v>
                </c:pt>
                <c:pt idx="34">
                  <c:v>-6</c:v>
                </c:pt>
                <c:pt idx="35">
                  <c:v>-5</c:v>
                </c:pt>
                <c:pt idx="36">
                  <c:v>-4</c:v>
                </c:pt>
                <c:pt idx="37">
                  <c:v>-3</c:v>
                </c:pt>
                <c:pt idx="38">
                  <c:v>-2</c:v>
                </c:pt>
                <c:pt idx="39">
                  <c:v>-1</c:v>
                </c:pt>
                <c:pt idx="40">
                  <c:v>0</c:v>
                </c:pt>
                <c:pt idx="41">
                  <c:v>1</c:v>
                </c:pt>
                <c:pt idx="42">
                  <c:v>2</c:v>
                </c:pt>
                <c:pt idx="43">
                  <c:v>3</c:v>
                </c:pt>
                <c:pt idx="44">
                  <c:v>4</c:v>
                </c:pt>
                <c:pt idx="45">
                  <c:v>5</c:v>
                </c:pt>
                <c:pt idx="46">
                  <c:v>6</c:v>
                </c:pt>
                <c:pt idx="47">
                  <c:v>7</c:v>
                </c:pt>
                <c:pt idx="48">
                  <c:v>8</c:v>
                </c:pt>
                <c:pt idx="49">
                  <c:v>9</c:v>
                </c:pt>
                <c:pt idx="50">
                  <c:v>10</c:v>
                </c:pt>
                <c:pt idx="51">
                  <c:v>11</c:v>
                </c:pt>
                <c:pt idx="52">
                  <c:v>12</c:v>
                </c:pt>
                <c:pt idx="53">
                  <c:v>13</c:v>
                </c:pt>
                <c:pt idx="54">
                  <c:v>14</c:v>
                </c:pt>
                <c:pt idx="55">
                  <c:v>15</c:v>
                </c:pt>
                <c:pt idx="56">
                  <c:v>16</c:v>
                </c:pt>
                <c:pt idx="57">
                  <c:v>17</c:v>
                </c:pt>
                <c:pt idx="58">
                  <c:v>18</c:v>
                </c:pt>
                <c:pt idx="59">
                  <c:v>19</c:v>
                </c:pt>
                <c:pt idx="60">
                  <c:v>20</c:v>
                </c:pt>
                <c:pt idx="61">
                  <c:v>21</c:v>
                </c:pt>
                <c:pt idx="62">
                  <c:v>22</c:v>
                </c:pt>
                <c:pt idx="63">
                  <c:v>23</c:v>
                </c:pt>
                <c:pt idx="64">
                  <c:v>24</c:v>
                </c:pt>
                <c:pt idx="65">
                  <c:v>25</c:v>
                </c:pt>
                <c:pt idx="66">
                  <c:v>26</c:v>
                </c:pt>
                <c:pt idx="67">
                  <c:v>27</c:v>
                </c:pt>
                <c:pt idx="68">
                  <c:v>28</c:v>
                </c:pt>
                <c:pt idx="69">
                  <c:v>29</c:v>
                </c:pt>
                <c:pt idx="70">
                  <c:v>30</c:v>
                </c:pt>
                <c:pt idx="71">
                  <c:v>31</c:v>
                </c:pt>
                <c:pt idx="72">
                  <c:v>32</c:v>
                </c:pt>
                <c:pt idx="73">
                  <c:v>33</c:v>
                </c:pt>
                <c:pt idx="74">
                  <c:v>34</c:v>
                </c:pt>
                <c:pt idx="75">
                  <c:v>35</c:v>
                </c:pt>
                <c:pt idx="76">
                  <c:v>36</c:v>
                </c:pt>
                <c:pt idx="77">
                  <c:v>37</c:v>
                </c:pt>
                <c:pt idx="78">
                  <c:v>38</c:v>
                </c:pt>
                <c:pt idx="79">
                  <c:v>39</c:v>
                </c:pt>
                <c:pt idx="80">
                  <c:v>40</c:v>
                </c:pt>
              </c:numCache>
            </c:numRef>
          </c:xVal>
          <c:yVal>
            <c:numRef>
              <c:f>[6m双回模式计算2.0.xls]自定义数据!$D$1:$D$81</c:f>
              <c:numCache>
                <c:formatCode>0.000_ </c:formatCode>
                <c:ptCount val="81"/>
                <c:pt idx="0">
                  <c:v>1.16492754024091</c:v>
                </c:pt>
                <c:pt idx="1">
                  <c:v>1.22361255739748</c:v>
                </c:pt>
                <c:pt idx="2">
                  <c:v>1.28678245186125</c:v>
                </c:pt>
                <c:pt idx="3">
                  <c:v>1.35489812429879</c:v>
                </c:pt>
                <c:pt idx="4">
                  <c:v>1.42847997801297</c:v>
                </c:pt>
                <c:pt idx="5">
                  <c:v>1.50811714155326</c:v>
                </c:pt>
                <c:pt idx="6">
                  <c:v>1.59447834993365</c:v>
                </c:pt>
                <c:pt idx="7">
                  <c:v>1.68832482066266</c:v>
                </c:pt>
                <c:pt idx="8">
                  <c:v>1.79052553541406</c:v>
                </c:pt>
                <c:pt idx="9">
                  <c:v>1.90207543027778</c:v>
                </c:pt>
                <c:pt idx="10">
                  <c:v>2.02411711118313</c:v>
                </c:pt>
                <c:pt idx="11">
                  <c:v>2.15796685109567</c:v>
                </c:pt>
                <c:pt idx="12">
                  <c:v>2.305145797499</c:v>
                </c:pt>
                <c:pt idx="13">
                  <c:v>2.4674175285182</c:v>
                </c:pt>
                <c:pt idx="14">
                  <c:v>2.64683334968691</c:v>
                </c:pt>
                <c:pt idx="15">
                  <c:v>2.84578702498979</c:v>
                </c:pt>
                <c:pt idx="16">
                  <c:v>3.06708098471695</c:v>
                </c:pt>
                <c:pt idx="17">
                  <c:v>3.31400643667174</c:v>
                </c:pt>
                <c:pt idx="18">
                  <c:v>3.59044018943666</c:v>
                </c:pt>
                <c:pt idx="19">
                  <c:v>3.90096128820603</c:v>
                </c:pt>
                <c:pt idx="20">
                  <c:v>4.25099057068168</c:v>
                </c:pt>
                <c:pt idx="21">
                  <c:v>4.64695556114687</c:v>
                </c:pt>
                <c:pt idx="22">
                  <c:v>5.0964808765773</c:v>
                </c:pt>
                <c:pt idx="23">
                  <c:v>5.60859873348955</c:v>
                </c:pt>
                <c:pt idx="24">
                  <c:v>6.19396149020517</c:v>
                </c:pt>
                <c:pt idx="25">
                  <c:v>6.86501061329992</c:v>
                </c:pt>
                <c:pt idx="26">
                  <c:v>7.63599754279121</c:v>
                </c:pt>
                <c:pt idx="27">
                  <c:v>8.52262705219565</c:v>
                </c:pt>
                <c:pt idx="28">
                  <c:v>9.54083157867067</c:v>
                </c:pt>
                <c:pt idx="29">
                  <c:v>10.7036468043854</c:v>
                </c:pt>
                <c:pt idx="30">
                  <c:v>12.0141139115917</c:v>
                </c:pt>
                <c:pt idx="31">
                  <c:v>13.4503860813521</c:v>
                </c:pt>
                <c:pt idx="32">
                  <c:v>14.9375096348459</c:v>
                </c:pt>
                <c:pt idx="33">
                  <c:v>16.3037972307924</c:v>
                </c:pt>
                <c:pt idx="34">
                  <c:v>17.2439883900242</c:v>
                </c:pt>
                <c:pt idx="35">
                  <c:v>17.369035650752</c:v>
                </c:pt>
                <c:pt idx="36">
                  <c:v>16.4306693465978</c:v>
                </c:pt>
                <c:pt idx="37">
                  <c:v>14.5896448993508</c:v>
                </c:pt>
                <c:pt idx="38">
                  <c:v>12.4105892850645</c:v>
                </c:pt>
                <c:pt idx="39">
                  <c:v>10.6255859259021</c:v>
                </c:pt>
                <c:pt idx="40">
                  <c:v>9.92382047108375</c:v>
                </c:pt>
                <c:pt idx="41">
                  <c:v>10.6255859259021</c:v>
                </c:pt>
                <c:pt idx="42">
                  <c:v>12.4105892850645</c:v>
                </c:pt>
                <c:pt idx="43">
                  <c:v>14.5896448993508</c:v>
                </c:pt>
                <c:pt idx="44">
                  <c:v>16.4306693465978</c:v>
                </c:pt>
                <c:pt idx="45">
                  <c:v>17.369035650752</c:v>
                </c:pt>
                <c:pt idx="46">
                  <c:v>17.2439883900242</c:v>
                </c:pt>
                <c:pt idx="47">
                  <c:v>16.3037972307924</c:v>
                </c:pt>
                <c:pt idx="48">
                  <c:v>14.9375096348459</c:v>
                </c:pt>
                <c:pt idx="49">
                  <c:v>13.4503860813521</c:v>
                </c:pt>
                <c:pt idx="50">
                  <c:v>12.0141139115917</c:v>
                </c:pt>
                <c:pt idx="51">
                  <c:v>10.7036468043854</c:v>
                </c:pt>
                <c:pt idx="52">
                  <c:v>9.54083157867067</c:v>
                </c:pt>
                <c:pt idx="53">
                  <c:v>8.52262705219565</c:v>
                </c:pt>
                <c:pt idx="54">
                  <c:v>7.63599754279121</c:v>
                </c:pt>
                <c:pt idx="55">
                  <c:v>6.86501061329991</c:v>
                </c:pt>
                <c:pt idx="56">
                  <c:v>6.19396149020517</c:v>
                </c:pt>
                <c:pt idx="57">
                  <c:v>5.60859873348955</c:v>
                </c:pt>
                <c:pt idx="58">
                  <c:v>5.0964808765773</c:v>
                </c:pt>
                <c:pt idx="59">
                  <c:v>4.64695556114687</c:v>
                </c:pt>
                <c:pt idx="60">
                  <c:v>4.25099057068168</c:v>
                </c:pt>
                <c:pt idx="61">
                  <c:v>3.90096128820603</c:v>
                </c:pt>
                <c:pt idx="62">
                  <c:v>3.59044018943666</c:v>
                </c:pt>
                <c:pt idx="63">
                  <c:v>3.31400643667174</c:v>
                </c:pt>
                <c:pt idx="64">
                  <c:v>3.06708098471695</c:v>
                </c:pt>
                <c:pt idx="65">
                  <c:v>2.84578702498979</c:v>
                </c:pt>
                <c:pt idx="66">
                  <c:v>2.64683334968691</c:v>
                </c:pt>
                <c:pt idx="67">
                  <c:v>2.4674175285182</c:v>
                </c:pt>
                <c:pt idx="68">
                  <c:v>2.305145797499</c:v>
                </c:pt>
                <c:pt idx="69">
                  <c:v>2.15796685109567</c:v>
                </c:pt>
                <c:pt idx="70">
                  <c:v>2.02411711118313</c:v>
                </c:pt>
                <c:pt idx="71">
                  <c:v>1.90207543027778</c:v>
                </c:pt>
                <c:pt idx="72">
                  <c:v>1.79052553541406</c:v>
                </c:pt>
                <c:pt idx="73">
                  <c:v>1.68832482066266</c:v>
                </c:pt>
                <c:pt idx="74">
                  <c:v>1.59447834993365</c:v>
                </c:pt>
                <c:pt idx="75">
                  <c:v>1.50811714155326</c:v>
                </c:pt>
                <c:pt idx="76">
                  <c:v>1.42847997801297</c:v>
                </c:pt>
                <c:pt idx="77">
                  <c:v>1.35489812429879</c:v>
                </c:pt>
                <c:pt idx="78">
                  <c:v>1.28678245186125</c:v>
                </c:pt>
                <c:pt idx="79">
                  <c:v>1.22361255739748</c:v>
                </c:pt>
                <c:pt idx="80">
                  <c:v>1.16492754024091</c:v>
                </c:pt>
              </c:numCache>
            </c:numRef>
          </c:yVal>
          <c:smooth val="1"/>
        </c:ser>
        <c:ser>
          <c:idx val="1"/>
          <c:order val="1"/>
          <c:tx>
            <c:strRef>
              <c:f>"双回路对地7m地面1.5m"</c:f>
              <c:strCache>
                <c:ptCount val="1"/>
                <c:pt idx="0">
                  <c:v>双回路对地7m地面1.5m</c:v>
                </c:pt>
              </c:strCache>
            </c:strRef>
          </c:tx>
          <c:spPr>
            <a:ln w="12700" cap="rnd" cmpd="sng" algn="ctr">
              <a:solidFill>
                <a:schemeClr val="accent2"/>
              </a:solidFill>
              <a:prstDash val="solid"/>
              <a:round/>
            </a:ln>
          </c:spPr>
          <c:marker>
            <c:spPr>
              <a:solidFill>
                <a:srgbClr val="FF0000"/>
              </a:solidFill>
            </c:spPr>
          </c:marker>
          <c:dLbls>
            <c:delete val="1"/>
          </c:dLbls>
          <c:xVal>
            <c:numRef>
              <c:f>[6m双回模式计算2.0.xls]自定义数据!$A$1:$A$81</c:f>
              <c:numCache>
                <c:formatCode>General</c:formatCode>
                <c:ptCount val="81"/>
                <c:pt idx="0">
                  <c:v>-40</c:v>
                </c:pt>
                <c:pt idx="1">
                  <c:v>-39</c:v>
                </c:pt>
                <c:pt idx="2">
                  <c:v>-38</c:v>
                </c:pt>
                <c:pt idx="3">
                  <c:v>-37</c:v>
                </c:pt>
                <c:pt idx="4">
                  <c:v>-36</c:v>
                </c:pt>
                <c:pt idx="5">
                  <c:v>-35</c:v>
                </c:pt>
                <c:pt idx="6">
                  <c:v>-34</c:v>
                </c:pt>
                <c:pt idx="7">
                  <c:v>-33</c:v>
                </c:pt>
                <c:pt idx="8">
                  <c:v>-32</c:v>
                </c:pt>
                <c:pt idx="9">
                  <c:v>-31</c:v>
                </c:pt>
                <c:pt idx="10">
                  <c:v>-30</c:v>
                </c:pt>
                <c:pt idx="11">
                  <c:v>-29</c:v>
                </c:pt>
                <c:pt idx="12">
                  <c:v>-28</c:v>
                </c:pt>
                <c:pt idx="13">
                  <c:v>-27</c:v>
                </c:pt>
                <c:pt idx="14">
                  <c:v>-26</c:v>
                </c:pt>
                <c:pt idx="15">
                  <c:v>-25</c:v>
                </c:pt>
                <c:pt idx="16">
                  <c:v>-24</c:v>
                </c:pt>
                <c:pt idx="17">
                  <c:v>-23</c:v>
                </c:pt>
                <c:pt idx="18">
                  <c:v>-22</c:v>
                </c:pt>
                <c:pt idx="19">
                  <c:v>-21</c:v>
                </c:pt>
                <c:pt idx="20">
                  <c:v>-20</c:v>
                </c:pt>
                <c:pt idx="21">
                  <c:v>-19</c:v>
                </c:pt>
                <c:pt idx="22">
                  <c:v>-18</c:v>
                </c:pt>
                <c:pt idx="23">
                  <c:v>-17</c:v>
                </c:pt>
                <c:pt idx="24">
                  <c:v>-16</c:v>
                </c:pt>
                <c:pt idx="25">
                  <c:v>-15</c:v>
                </c:pt>
                <c:pt idx="26">
                  <c:v>-14</c:v>
                </c:pt>
                <c:pt idx="27">
                  <c:v>-13</c:v>
                </c:pt>
                <c:pt idx="28">
                  <c:v>-12</c:v>
                </c:pt>
                <c:pt idx="29">
                  <c:v>-11</c:v>
                </c:pt>
                <c:pt idx="30">
                  <c:v>-10</c:v>
                </c:pt>
                <c:pt idx="31">
                  <c:v>-9</c:v>
                </c:pt>
                <c:pt idx="32">
                  <c:v>-8</c:v>
                </c:pt>
                <c:pt idx="33">
                  <c:v>-7</c:v>
                </c:pt>
                <c:pt idx="34">
                  <c:v>-6</c:v>
                </c:pt>
                <c:pt idx="35">
                  <c:v>-5</c:v>
                </c:pt>
                <c:pt idx="36">
                  <c:v>-4</c:v>
                </c:pt>
                <c:pt idx="37">
                  <c:v>-3</c:v>
                </c:pt>
                <c:pt idx="38">
                  <c:v>-2</c:v>
                </c:pt>
                <c:pt idx="39">
                  <c:v>-1</c:v>
                </c:pt>
                <c:pt idx="40">
                  <c:v>0</c:v>
                </c:pt>
                <c:pt idx="41">
                  <c:v>1</c:v>
                </c:pt>
                <c:pt idx="42">
                  <c:v>2</c:v>
                </c:pt>
                <c:pt idx="43">
                  <c:v>3</c:v>
                </c:pt>
                <c:pt idx="44">
                  <c:v>4</c:v>
                </c:pt>
                <c:pt idx="45">
                  <c:v>5</c:v>
                </c:pt>
                <c:pt idx="46">
                  <c:v>6</c:v>
                </c:pt>
                <c:pt idx="47">
                  <c:v>7</c:v>
                </c:pt>
                <c:pt idx="48">
                  <c:v>8</c:v>
                </c:pt>
                <c:pt idx="49">
                  <c:v>9</c:v>
                </c:pt>
                <c:pt idx="50">
                  <c:v>10</c:v>
                </c:pt>
                <c:pt idx="51">
                  <c:v>11</c:v>
                </c:pt>
                <c:pt idx="52">
                  <c:v>12</c:v>
                </c:pt>
                <c:pt idx="53">
                  <c:v>13</c:v>
                </c:pt>
                <c:pt idx="54">
                  <c:v>14</c:v>
                </c:pt>
                <c:pt idx="55">
                  <c:v>15</c:v>
                </c:pt>
                <c:pt idx="56">
                  <c:v>16</c:v>
                </c:pt>
                <c:pt idx="57">
                  <c:v>17</c:v>
                </c:pt>
                <c:pt idx="58">
                  <c:v>18</c:v>
                </c:pt>
                <c:pt idx="59">
                  <c:v>19</c:v>
                </c:pt>
                <c:pt idx="60">
                  <c:v>20</c:v>
                </c:pt>
                <c:pt idx="61">
                  <c:v>21</c:v>
                </c:pt>
                <c:pt idx="62">
                  <c:v>22</c:v>
                </c:pt>
                <c:pt idx="63">
                  <c:v>23</c:v>
                </c:pt>
                <c:pt idx="64">
                  <c:v>24</c:v>
                </c:pt>
                <c:pt idx="65">
                  <c:v>25</c:v>
                </c:pt>
                <c:pt idx="66">
                  <c:v>26</c:v>
                </c:pt>
                <c:pt idx="67">
                  <c:v>27</c:v>
                </c:pt>
                <c:pt idx="68">
                  <c:v>28</c:v>
                </c:pt>
                <c:pt idx="69">
                  <c:v>29</c:v>
                </c:pt>
                <c:pt idx="70">
                  <c:v>30</c:v>
                </c:pt>
                <c:pt idx="71">
                  <c:v>31</c:v>
                </c:pt>
                <c:pt idx="72">
                  <c:v>32</c:v>
                </c:pt>
                <c:pt idx="73">
                  <c:v>33</c:v>
                </c:pt>
                <c:pt idx="74">
                  <c:v>34</c:v>
                </c:pt>
                <c:pt idx="75">
                  <c:v>35</c:v>
                </c:pt>
                <c:pt idx="76">
                  <c:v>36</c:v>
                </c:pt>
                <c:pt idx="77">
                  <c:v>37</c:v>
                </c:pt>
                <c:pt idx="78">
                  <c:v>38</c:v>
                </c:pt>
                <c:pt idx="79">
                  <c:v>39</c:v>
                </c:pt>
                <c:pt idx="80">
                  <c:v>40</c:v>
                </c:pt>
              </c:numCache>
            </c:numRef>
          </c:xVal>
          <c:yVal>
            <c:numRef>
              <c:f>[6m双回模式计算2.0.xls]自定义数据!$E$1:$E$81</c:f>
              <c:numCache>
                <c:formatCode>0.000_ </c:formatCode>
                <c:ptCount val="81"/>
                <c:pt idx="0">
                  <c:v>1.15115688140639</c:v>
                </c:pt>
                <c:pt idx="1">
                  <c:v>1.20840988931668</c:v>
                </c:pt>
                <c:pt idx="2">
                  <c:v>1.2699586139576</c:v>
                </c:pt>
                <c:pt idx="3">
                  <c:v>1.33623353876667</c:v>
                </c:pt>
                <c:pt idx="4">
                  <c:v>1.40771887147176</c:v>
                </c:pt>
                <c:pt idx="5">
                  <c:v>1.48496049852353</c:v>
                </c:pt>
                <c:pt idx="6">
                  <c:v>1.56857528209425</c:v>
                </c:pt>
                <c:pt idx="7">
                  <c:v>1.65926194762381</c:v>
                </c:pt>
                <c:pt idx="8">
                  <c:v>1.75781385722148</c:v>
                </c:pt>
                <c:pt idx="9">
                  <c:v>1.86513401976303</c:v>
                </c:pt>
                <c:pt idx="10">
                  <c:v>1.98225275285484</c:v>
                </c:pt>
                <c:pt idx="11">
                  <c:v>2.11034848493375</c:v>
                </c:pt>
                <c:pt idx="12">
                  <c:v>2.25077226630585</c:v>
                </c:pt>
                <c:pt idx="13">
                  <c:v>2.40507664214009</c:v>
                </c:pt>
                <c:pt idx="14">
                  <c:v>2.57504962011973</c:v>
                </c:pt>
                <c:pt idx="15">
                  <c:v>2.76275452445675</c:v>
                </c:pt>
                <c:pt idx="16">
                  <c:v>2.97057653598803</c:v>
                </c:pt>
                <c:pt idx="17">
                  <c:v>3.20127661969807</c:v>
                </c:pt>
                <c:pt idx="18">
                  <c:v>3.45805323619419</c:v>
                </c:pt>
                <c:pt idx="19">
                  <c:v>3.74461154238245</c:v>
                </c:pt>
                <c:pt idx="20">
                  <c:v>4.06523838460314</c:v>
                </c:pt>
                <c:pt idx="21">
                  <c:v>4.42487868826248</c:v>
                </c:pt>
                <c:pt idx="22">
                  <c:v>4.82920378499079</c:v>
                </c:pt>
                <c:pt idx="23">
                  <c:v>5.2846528438151</c:v>
                </c:pt>
                <c:pt idx="24">
                  <c:v>5.79841132771062</c:v>
                </c:pt>
                <c:pt idx="25">
                  <c:v>6.37825882506266</c:v>
                </c:pt>
                <c:pt idx="26">
                  <c:v>7.03216125692664</c:v>
                </c:pt>
                <c:pt idx="27">
                  <c:v>7.76738009581279</c:v>
                </c:pt>
                <c:pt idx="28">
                  <c:v>8.58869548410825</c:v>
                </c:pt>
                <c:pt idx="29">
                  <c:v>9.49506362926622</c:v>
                </c:pt>
                <c:pt idx="30">
                  <c:v>10.473681194565</c:v>
                </c:pt>
                <c:pt idx="31">
                  <c:v>11.4902922175481</c:v>
                </c:pt>
                <c:pt idx="32">
                  <c:v>12.4756692735333</c:v>
                </c:pt>
                <c:pt idx="33">
                  <c:v>13.3129162950169</c:v>
                </c:pt>
                <c:pt idx="34">
                  <c:v>13.8408908700923</c:v>
                </c:pt>
                <c:pt idx="35">
                  <c:v>13.8986746292057</c:v>
                </c:pt>
                <c:pt idx="36">
                  <c:v>13.4170401349036</c:v>
                </c:pt>
                <c:pt idx="37">
                  <c:v>12.5025239949225</c:v>
                </c:pt>
                <c:pt idx="38">
                  <c:v>11.4354655210479</c:v>
                </c:pt>
                <c:pt idx="39">
                  <c:v>10.5792033360313</c:v>
                </c:pt>
                <c:pt idx="40">
                  <c:v>10.250535279133</c:v>
                </c:pt>
                <c:pt idx="41">
                  <c:v>10.5792033360313</c:v>
                </c:pt>
                <c:pt idx="42">
                  <c:v>11.4354655210479</c:v>
                </c:pt>
                <c:pt idx="43">
                  <c:v>12.5025239949225</c:v>
                </c:pt>
                <c:pt idx="44">
                  <c:v>13.4170401349036</c:v>
                </c:pt>
                <c:pt idx="45">
                  <c:v>13.8986746292057</c:v>
                </c:pt>
                <c:pt idx="46">
                  <c:v>13.8408908700923</c:v>
                </c:pt>
                <c:pt idx="47">
                  <c:v>13.3129162950169</c:v>
                </c:pt>
                <c:pt idx="48">
                  <c:v>12.4756692735333</c:v>
                </c:pt>
                <c:pt idx="49">
                  <c:v>11.4902922175481</c:v>
                </c:pt>
                <c:pt idx="50">
                  <c:v>10.473681194565</c:v>
                </c:pt>
                <c:pt idx="51">
                  <c:v>9.49506362926622</c:v>
                </c:pt>
                <c:pt idx="52">
                  <c:v>8.58869548410825</c:v>
                </c:pt>
                <c:pt idx="53">
                  <c:v>7.76738009581279</c:v>
                </c:pt>
                <c:pt idx="54">
                  <c:v>7.03216125692665</c:v>
                </c:pt>
                <c:pt idx="55">
                  <c:v>6.37825882506266</c:v>
                </c:pt>
                <c:pt idx="56">
                  <c:v>5.79841132771062</c:v>
                </c:pt>
                <c:pt idx="57">
                  <c:v>5.2846528438151</c:v>
                </c:pt>
                <c:pt idx="58">
                  <c:v>4.82920378499079</c:v>
                </c:pt>
                <c:pt idx="59">
                  <c:v>4.42487868826248</c:v>
                </c:pt>
                <c:pt idx="60">
                  <c:v>4.06523838460314</c:v>
                </c:pt>
                <c:pt idx="61">
                  <c:v>3.74461154238245</c:v>
                </c:pt>
                <c:pt idx="62">
                  <c:v>3.4580532361942</c:v>
                </c:pt>
                <c:pt idx="63">
                  <c:v>3.20127661969807</c:v>
                </c:pt>
                <c:pt idx="64">
                  <c:v>2.97057653598803</c:v>
                </c:pt>
                <c:pt idx="65">
                  <c:v>2.76275452445675</c:v>
                </c:pt>
                <c:pt idx="66">
                  <c:v>2.57504962011973</c:v>
                </c:pt>
                <c:pt idx="67">
                  <c:v>2.40507664214009</c:v>
                </c:pt>
                <c:pt idx="68">
                  <c:v>2.25077226630585</c:v>
                </c:pt>
                <c:pt idx="69">
                  <c:v>2.11034848493375</c:v>
                </c:pt>
                <c:pt idx="70">
                  <c:v>1.98225275285484</c:v>
                </c:pt>
                <c:pt idx="71">
                  <c:v>1.86513401976303</c:v>
                </c:pt>
                <c:pt idx="72">
                  <c:v>1.75781385722148</c:v>
                </c:pt>
                <c:pt idx="73">
                  <c:v>1.65926194762381</c:v>
                </c:pt>
                <c:pt idx="74">
                  <c:v>1.56857528209425</c:v>
                </c:pt>
                <c:pt idx="75">
                  <c:v>1.48496049852353</c:v>
                </c:pt>
                <c:pt idx="76">
                  <c:v>1.40771887147176</c:v>
                </c:pt>
                <c:pt idx="77">
                  <c:v>1.33623353876667</c:v>
                </c:pt>
                <c:pt idx="78">
                  <c:v>1.2699586139576</c:v>
                </c:pt>
                <c:pt idx="79">
                  <c:v>1.20840988931668</c:v>
                </c:pt>
                <c:pt idx="80">
                  <c:v>1.15115688140639</c:v>
                </c:pt>
              </c:numCache>
            </c:numRef>
          </c:yVal>
          <c:smooth val="1"/>
        </c:ser>
        <c:dLbls>
          <c:showLegendKey val="0"/>
          <c:showVal val="0"/>
          <c:showCatName val="0"/>
          <c:showSerName val="0"/>
          <c:showPercent val="0"/>
          <c:showBubbleSize val="0"/>
        </c:dLbls>
        <c:axId val="549075354"/>
        <c:axId val="191864136"/>
      </c:scatterChart>
      <c:valAx>
        <c:axId val="549075354"/>
        <c:scaling>
          <c:orientation val="minMax"/>
          <c:max val="40"/>
          <c:min val="-40"/>
        </c:scaling>
        <c:delete val="0"/>
        <c:axPos val="b"/>
        <c:majorGridlines>
          <c:spPr>
            <a:ln w="3175" cap="flat" cmpd="sng" algn="ctr">
              <a:solidFill>
                <a:srgbClr val="C0C0C0">
                  <a:alpha val="100000"/>
                </a:srgbClr>
              </a:solidFill>
              <a:prstDash val="solid"/>
              <a:round/>
            </a:ln>
          </c:spPr>
        </c:majorGridlines>
        <c:title>
          <c:tx>
            <c:rich>
              <a:bodyPr rot="0" spcFirstLastPara="0" vertOverflow="ellipsis" vert="horz" wrap="square" anchor="ctr" anchorCtr="1"/>
              <a:lstStyle/>
              <a:p>
                <a:pPr defTabSz="914400">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距中心线距离（</a:t>
                </a:r>
                <a:r>
                  <a:rPr lang="en-US"/>
                  <a:t>m）</a:t>
                </a:r>
                <a:endParaRPr lang="en-US" sz="975"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manualLayout>
              <c:xMode val="edge"/>
              <c:yMode val="edge"/>
              <c:x val="0.427885288377414"/>
              <c:y val="0.899350718862323"/>
            </c:manualLayout>
          </c:layout>
          <c:overlay val="0"/>
          <c:spPr>
            <a:noFill/>
            <a:ln w="3175">
              <a:noFill/>
            </a:ln>
          </c:spPr>
        </c:title>
        <c:numFmt formatCode="General" sourceLinked="1"/>
        <c:majorTickMark val="in"/>
        <c:minorTickMark val="none"/>
        <c:tickLblPos val="nextTo"/>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191864136"/>
        <c:crosses val="autoZero"/>
        <c:crossBetween val="midCat"/>
        <c:majorUnit val="5"/>
      </c:valAx>
      <c:valAx>
        <c:axId val="191864136"/>
        <c:scaling>
          <c:orientation val="minMax"/>
        </c:scaling>
        <c:delete val="0"/>
        <c:axPos val="l"/>
        <c:majorGridlines>
          <c:spPr>
            <a:ln w="3175" cap="flat" cmpd="sng" algn="ctr">
              <a:solidFill>
                <a:srgbClr val="C0C0C0">
                  <a:alpha val="100000"/>
                </a:srgbClr>
              </a:solidFill>
              <a:prstDash val="solid"/>
              <a:round/>
            </a:ln>
          </c:spPr>
        </c:majorGridlines>
        <c:title>
          <c:tx>
            <c:rich>
              <a:bodyPr rot="-5400000" spcFirstLastPara="0" vertOverflow="ellipsis" vert="horz" wrap="square" anchor="ctr" anchorCtr="1"/>
              <a:lstStyle/>
              <a:p>
                <a:pPr defTabSz="914400">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磁感应强度（</a:t>
                </a:r>
                <a:r>
                  <a:rPr lang="en-US"/>
                  <a:t>uT）</a:t>
                </a:r>
                <a:endParaRPr lang="en-US" sz="975"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manualLayout>
              <c:xMode val="edge"/>
              <c:yMode val="edge"/>
              <c:x val="0.0112179487179487"/>
              <c:y val="0.308216021784701"/>
            </c:manualLayout>
          </c:layout>
          <c:overlay val="0"/>
          <c:spPr>
            <a:noFill/>
            <a:ln w="3175">
              <a:noFill/>
            </a:ln>
          </c:spPr>
        </c:title>
        <c:numFmt formatCode="0.0_ " sourceLinked="0"/>
        <c:majorTickMark val="in"/>
        <c:minorTickMark val="none"/>
        <c:tickLblPos val="low"/>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549075354"/>
        <c:crosses val="autoZero"/>
        <c:crossBetween val="midCat"/>
      </c:valAx>
      <c:spPr>
        <a:noFill/>
        <a:ln w="3175">
          <a:solidFill>
            <a:srgbClr val="000000">
              <a:alpha val="100000"/>
            </a:srgbClr>
          </a:solidFill>
          <a:prstDash val="solid"/>
        </a:ln>
      </c:spPr>
    </c:plotArea>
    <c:legend>
      <c:legendPos val="b"/>
      <c:layout>
        <c:manualLayout>
          <c:xMode val="edge"/>
          <c:yMode val="edge"/>
          <c:x val="0.197115384615385"/>
          <c:y val="0.942188583767749"/>
          <c:w val="0.648076923076923"/>
          <c:h val="0.0578114162322507"/>
        </c:manualLayout>
      </c:layout>
      <c:overlay val="0"/>
      <c:spPr>
        <a:noFill/>
        <a:ln w="3175">
          <a:noFill/>
        </a:ln>
      </c:spPr>
      <c:txPr>
        <a:bodyPr rot="0" spcFirstLastPara="0" vertOverflow="ellipsis" vert="horz" wrap="square" anchor="ctr" anchorCtr="1"/>
        <a:lstStyle/>
        <a:p>
          <a:pPr>
            <a:defRPr lang="zh-CN" sz="975"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legend>
    <c:plotVisOnly val="1"/>
    <c:dispBlanksAs val="gap"/>
    <c:showDLblsOverMax val="0"/>
  </c:chart>
  <c:spPr>
    <a:solidFill>
      <a:srgbClr val="FFFFFF">
        <a:alpha val="100000"/>
      </a:srgbClr>
    </a:solidFill>
    <a:ln w="3175" cap="flat" cmpd="sng" algn="ctr">
      <a:solidFill>
        <a:srgbClr val="000000">
          <a:alpha val="100000"/>
        </a:srgbClr>
      </a:solidFill>
      <a:prstDash val="solid"/>
      <a:round/>
    </a:ln>
  </c:spPr>
  <c:txPr>
    <a:bodyPr rot="0" wrap="square" anchor="ctr" anchorCtr="1"/>
    <a:lstStyle/>
    <a:p>
      <a:pPr>
        <a:defRPr lang="zh-CN" sz="975"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B353056-9230-4E5D-AE50-F882F56A86C9}">
  <ds:schemaRefs/>
</ds:datastoreItem>
</file>

<file path=docProps/app.xml><?xml version="1.0" encoding="utf-8"?>
<Properties xmlns="http://schemas.openxmlformats.org/officeDocument/2006/extended-properties" xmlns:vt="http://schemas.openxmlformats.org/officeDocument/2006/docPropsVTypes">
  <Template>Normal</Template>
  <Pages>96</Pages>
  <Words>5019</Words>
  <Characters>28610</Characters>
  <Lines>238</Lines>
  <Paragraphs>67</Paragraphs>
  <TotalTime>122</TotalTime>
  <ScaleCrop>false</ScaleCrop>
  <LinksUpToDate>false</LinksUpToDate>
  <CharactersWithSpaces>33562</CharactersWithSpaces>
  <Application>WPS Office_11.8.2.8875_F1E327BC-269C-435d-A152-05C5408002CA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2023-08-08T03:26:00Z</dcterms:created>
  <dc:creator>ecidi</dc:creator>
  <cp:lastModifiedBy>Administrator</cp:lastModifiedBy>
  <cp:lastPrinted>2023-07-31T03:20:00Z</cp:lastPrinted>
  <dcterms:modified xsi:type="dcterms:W3CDTF">2023-08-09T09:17:39Z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2052-11.8.2.8875</vt:lpwstr>
  </property>
  <property fmtid="{D5CDD505-2E9C-101B-9397-08002B2CF9AE}" pid="3" name="ICV">
    <vt:lpwstr>B5B201BB569B40B1AFFB28CF3EDAF040_13</vt:lpwstr>
  </property>
</Properties>
</file>